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«Агентство по развитию системы гарантий и Микрокредитная компания для поддержки предпринимательства Нижегородской области» является региональной микрофинансовой организацией, созданной Правительством региона, предоставляющей услуги льготной государственной поддержки в виде микрозаймов.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Субъекты малого и среднего предпринимательства Нижегородской области,</w:t>
      </w:r>
      <w:r>
        <w:rPr/>
        <w:t xml:space="preserve"> </w:t>
      </w:r>
      <w:r>
        <w:rPr>
          <w:sz w:val="28"/>
          <w:szCs w:val="28"/>
        </w:rPr>
        <w:t xml:space="preserve">осуществляющие деятельность в наиболее пострадавших отраслей, соответствующих перечню ОКВЭД из </w:t>
      </w:r>
      <w:hyperlink r:id="rId2">
        <w:r>
          <w:rPr>
            <w:rStyle w:val="ListLabel10"/>
            <w:color w:val="0000CC"/>
            <w:sz w:val="28"/>
            <w:szCs w:val="28"/>
            <w:u w:val="single"/>
          </w:rPr>
          <w:t>Постановления Правительства РФ от 10 марта 2022 г. N 337</w:t>
        </w:r>
      </w:hyperlink>
      <w:r>
        <w:rPr>
          <w:sz w:val="28"/>
          <w:szCs w:val="28"/>
        </w:rPr>
        <w:t xml:space="preserve">,  могут пополнить оборотные средства и </w:t>
      </w:r>
      <w:r>
        <w:rPr>
          <w:sz w:val="28"/>
          <w:szCs w:val="28"/>
          <w:u w:val="single"/>
        </w:rPr>
        <w:t>рефинансировать кредиты банков под ставку 5 % годовых</w:t>
      </w:r>
      <w:r>
        <w:rPr>
          <w:sz w:val="28"/>
          <w:szCs w:val="28"/>
        </w:rPr>
        <w:t xml:space="preserve"> по программе «Антикризис 2.0», со следующими условиями финансирования: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до 24 месяцев;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5% годовых (без доп. комиссий и страховок);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тыс. до 5 млн руб.;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обеспечение:</w:t>
      </w:r>
    </w:p>
    <w:p>
      <w:pPr>
        <w:pStyle w:val="ListParagraph"/>
        <w:numPr>
          <w:ilvl w:val="2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 1 млн руб. – поручительство 2 физических лиц;</w:t>
      </w:r>
    </w:p>
    <w:p>
      <w:pPr>
        <w:pStyle w:val="ListParagraph"/>
        <w:numPr>
          <w:ilvl w:val="2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5 млн руб. – поручительство и залог движимого/недвижимого имущества.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цели финансирования: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рефинансирование кредитов банков;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расчеты с поставщиками работ, услуг, материалов, товаров;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заявки в конкурсе (аукционе);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покрытие кассового разрыва на выдачу заработной платы и отчислений в фонды;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оплата арендных платежей;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оплат не просроченных налогов.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финансирования на инвестиционные цели (оборудование, транспорт, недвижимость и т.д.) так же существуют программы финансирования под льготные ставки.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3">
        <w:r>
          <w:rPr>
            <w:rStyle w:val="Style15"/>
            <w:sz w:val="28"/>
            <w:szCs w:val="28"/>
            <w:lang w:val="en-US"/>
          </w:rPr>
          <w:t>www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garantnn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Calibri" w:eastAsiaTheme="minorHAnsi"/>
          <w:sz w:val="28"/>
          <w:szCs w:val="28"/>
          <w:lang w:eastAsia="en-US"/>
        </w:rPr>
        <w:t xml:space="preserve">в центр </w:t>
      </w:r>
      <w:hyperlink r:id="rId4">
        <w:r>
          <w:rPr>
            <w:rStyle w:val="ListLabel13"/>
            <w:rFonts w:eastAsia="Calibri" w:eastAsiaTheme="minorHAnsi"/>
            <w:color w:val="0000CC"/>
            <w:sz w:val="28"/>
            <w:szCs w:val="28"/>
            <w:u w:val="single"/>
            <w:lang w:eastAsia="en-US"/>
          </w:rPr>
          <w:t>"Мой бизнес "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по телефону 8 (800) 301 29 94</w:t>
      </w:r>
    </w:p>
    <w:p>
      <w:pPr>
        <w:pStyle w:val="Normal"/>
        <w:pBdr>
          <w:bottom w:val="single" w:sz="12" w:space="1" w:color="000000"/>
        </w:pBdr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СПРАВОЧНО: Пострадавшие отрасли «Антикризис 2.0»: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Сельское, лесное хозяйство, охота, рыболовство и рыбоводство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Обрабатывающие производства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Ремонт автотранспортных средств и мотоциклов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Торговля оптовая и розничная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Транспортировка и хранение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гостиниц и предприятий общественного питания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информации и связи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по операциям с недвижимым имуществом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профессиональная, научная и техническая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профессиональная, научная и техническая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административная и сопутствующие допол. услуги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Образование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здравоохранения и социальных услуг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культуры, спорта, организации досуга и развлечений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Предоставление прочих видов услуг  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Предприниматели Нижегородской области, осуществляющие деятельность в наиболее пострадавших отраслей, соответствующих перечню ОКВЭД из </w:t>
      </w:r>
      <w:hyperlink r:id="rId5">
        <w:r>
          <w:rPr>
            <w:rStyle w:val="ListLabel10"/>
            <w:color w:val="0000CC"/>
            <w:sz w:val="28"/>
            <w:szCs w:val="28"/>
            <w:u w:val="single"/>
          </w:rPr>
          <w:t>Постановления Правительства РФ от 10 марта 2022 г. N 337</w:t>
        </w:r>
      </w:hyperlink>
      <w:r>
        <w:rPr>
          <w:sz w:val="28"/>
          <w:szCs w:val="28"/>
        </w:rPr>
        <w:t xml:space="preserve">,  могут пополнить оборотные средства и </w:t>
      </w:r>
      <w:r>
        <w:rPr>
          <w:sz w:val="28"/>
          <w:szCs w:val="28"/>
          <w:u w:val="single"/>
        </w:rPr>
        <w:t>рефинансировать кредиты банков под ставку 5 % годовых</w:t>
      </w:r>
      <w:r>
        <w:rPr>
          <w:sz w:val="28"/>
          <w:szCs w:val="28"/>
        </w:rPr>
        <w:t xml:space="preserve"> по программе «Антикризис 2.0», со следующими условиями финансирования: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до 24 месяцев;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5% годовых (без доп. комиссий и страховок);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тыс. до 5 млн руб.;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обеспечение:</w:t>
      </w:r>
    </w:p>
    <w:p>
      <w:pPr>
        <w:pStyle w:val="ListParagraph"/>
        <w:numPr>
          <w:ilvl w:val="2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 1 млн руб. – поручительство 2 физических лиц;</w:t>
      </w:r>
    </w:p>
    <w:p>
      <w:pPr>
        <w:pStyle w:val="ListParagraph"/>
        <w:numPr>
          <w:ilvl w:val="2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5 млн руб. – поручительство и залог движимого/недвижимого имущества.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цели финансирования: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рефинансирование кредитов банков;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расчеты с поставщиками работ, услуг, материалов, товаров;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заявки в конкурсе (аукционе);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покрытие кассового разрыва на выдачу заработной платы и отчислений в фонды;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оплата арендных платежей;</w:t>
      </w:r>
    </w:p>
    <w:p>
      <w:pPr>
        <w:pStyle w:val="ListParagraph"/>
        <w:numPr>
          <w:ilvl w:val="0"/>
          <w:numId w:val="1"/>
        </w:numPr>
        <w:ind w:left="1134" w:hanging="0"/>
        <w:jc w:val="both"/>
        <w:rPr>
          <w:sz w:val="28"/>
          <w:szCs w:val="28"/>
        </w:rPr>
      </w:pPr>
      <w:r>
        <w:rPr>
          <w:sz w:val="28"/>
          <w:szCs w:val="28"/>
        </w:rPr>
        <w:t>оплат не просроченных налогов.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финансирования на инвестиционные цели (оборудование, транспорт, недвижимость и т.д.) так же существуют программы финансирования под льготные ставки.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6">
        <w:r>
          <w:rPr>
            <w:rStyle w:val="Style15"/>
            <w:sz w:val="28"/>
            <w:szCs w:val="28"/>
            <w:lang w:val="en-US"/>
          </w:rPr>
          <w:t>www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garantnn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Calibri" w:eastAsiaTheme="minorHAnsi"/>
          <w:sz w:val="28"/>
          <w:szCs w:val="28"/>
          <w:lang w:eastAsia="en-US"/>
        </w:rPr>
        <w:t xml:space="preserve">в центр </w:t>
      </w:r>
      <w:hyperlink r:id="rId7">
        <w:r>
          <w:rPr>
            <w:rStyle w:val="ListLabel13"/>
            <w:rFonts w:eastAsia="Calibri" w:eastAsiaTheme="minorHAnsi"/>
            <w:color w:val="0000CC"/>
            <w:sz w:val="28"/>
            <w:szCs w:val="28"/>
            <w:u w:val="single"/>
            <w:lang w:eastAsia="en-US"/>
          </w:rPr>
          <w:t>"Мой бизнес "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по телефону 8 (800) 301 29 94</w:t>
      </w:r>
      <w:r>
        <w:rPr>
          <w:sz w:val="28"/>
          <w:szCs w:val="28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Программу реализует АНО «Агентство по развитию системы гарантий и Микрокредитная компания для поддержки предпринимательства Нижегородской области»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СПРАВОЧНО: Пострадавшие отрасли «Антикризис 2.0»: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Сельское, лесное хозяйство, охота, рыболовство и рыбоводство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Обрабатывающие производства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Ремонт автотранспортных средств и мотоциклов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Торговля оптовая и розничная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Транспортировка и хранение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гостиниц и предприятий общественного питания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информации и связи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по операциям с недвижимым имуществом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профессиональная, научная и техническая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профессиональная, научная и техническая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административная и сопутствующие допол. услуги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Образование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здравоохранения и социальных услуг</w:t>
      </w:r>
    </w:p>
    <w:p>
      <w:pPr>
        <w:pStyle w:val="Normal"/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Деятельность в области культуры, спорта, организации досуга и развлечений</w:t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Предоставление прочих видов услуг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1"/>
        <w:lang w:val="ru-RU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Normal Table" w:uiPriority="99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1c7a"/>
    <w:pPr>
      <w:widowControl/>
      <w:bidi w:val="0"/>
      <w:jc w:val="left"/>
    </w:pPr>
    <w:rPr>
      <w:rFonts w:eastAsia="Times New Roman" w:ascii="Times New Roman" w:hAnsi="Times New Roman" w:cs="Times New Roman"/>
      <w:bCs w:val="false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6a67de"/>
    <w:pPr>
      <w:keepNext w:val="true"/>
      <w:widowControl w:val="false"/>
      <w:spacing w:before="240" w:after="60"/>
      <w:jc w:val="both"/>
      <w:outlineLvl w:val="0"/>
    </w:pPr>
    <w:rPr>
      <w:rFonts w:ascii="Arial" w:hAnsi="Arial"/>
      <w:b/>
      <w:bCs/>
      <w:kern w:val="2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6a67de"/>
    <w:pPr>
      <w:keepNext w:val="true"/>
      <w:spacing w:before="240" w:after="60"/>
      <w:outlineLvl w:val="1"/>
    </w:pPr>
    <w:rPr>
      <w:rFonts w:ascii="Arial" w:hAnsi="Arial" w:cs="Arial"/>
      <w:b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qFormat/>
    <w:rsid w:val="006a67de"/>
    <w:pPr>
      <w:keepNext w:val="true"/>
      <w:spacing w:before="240" w:after="60"/>
      <w:outlineLvl w:val="2"/>
    </w:pPr>
    <w:rPr>
      <w:rFonts w:ascii="Arial" w:hAnsi="Arial" w:cs="Arial"/>
      <w:b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qFormat/>
    <w:rsid w:val="006a67de"/>
    <w:pPr>
      <w:keepNext w:val="true"/>
      <w:spacing w:before="240" w:after="60"/>
      <w:outlineLvl w:val="3"/>
    </w:pPr>
    <w:rPr>
      <w:b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qFormat/>
    <w:rsid w:val="006a67de"/>
    <w:pPr>
      <w:spacing w:before="240" w:after="60"/>
      <w:outlineLvl w:val="4"/>
    </w:pPr>
    <w:rPr>
      <w:b/>
      <w:i/>
      <w:iCs/>
      <w:sz w:val="26"/>
      <w:szCs w:val="26"/>
      <w:lang w:eastAsia="en-US"/>
    </w:rPr>
  </w:style>
  <w:style w:type="paragraph" w:styleId="6">
    <w:name w:val="Heading 6"/>
    <w:basedOn w:val="Normal"/>
    <w:next w:val="Normal"/>
    <w:link w:val="60"/>
    <w:qFormat/>
    <w:rsid w:val="006a67de"/>
    <w:pPr>
      <w:spacing w:before="240" w:after="60"/>
      <w:outlineLvl w:val="5"/>
    </w:pPr>
    <w:rPr>
      <w:b/>
      <w:sz w:val="22"/>
      <w:szCs w:val="22"/>
      <w:lang w:eastAsia="en-US"/>
    </w:rPr>
  </w:style>
  <w:style w:type="paragraph" w:styleId="7">
    <w:name w:val="Heading 7"/>
    <w:basedOn w:val="Normal"/>
    <w:next w:val="Normal"/>
    <w:link w:val="70"/>
    <w:qFormat/>
    <w:rsid w:val="006a67de"/>
    <w:pPr>
      <w:spacing w:before="240" w:after="60"/>
      <w:outlineLvl w:val="6"/>
    </w:pPr>
    <w:rPr>
      <w:bCs/>
      <w:sz w:val="20"/>
      <w:szCs w:val="2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qFormat/>
    <w:rsid w:val="006a67de"/>
    <w:rPr/>
  </w:style>
  <w:style w:type="character" w:styleId="11" w:customStyle="1">
    <w:name w:val="Заголовок 1 Знак"/>
    <w:link w:val="1"/>
    <w:qFormat/>
    <w:rsid w:val="006a67de"/>
    <w:rPr>
      <w:rFonts w:ascii="Arial" w:hAnsi="Arial" w:eastAsia="Times New Roman"/>
      <w:b/>
      <w:bCs w:val="false"/>
      <w:color w:val="auto"/>
      <w:kern w:val="2"/>
      <w:sz w:val="28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6a67de"/>
    <w:rPr>
      <w:rFonts w:ascii="Arial" w:hAnsi="Arial" w:eastAsia="Times New Roman" w:cs="Arial"/>
      <w:b/>
      <w:i/>
      <w:iCs/>
      <w:color w:val="auto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a67de"/>
    <w:rPr>
      <w:rFonts w:ascii="Arial" w:hAnsi="Arial" w:eastAsia="Times New Roman" w:cs="Arial"/>
      <w:b/>
      <w:color w:val="auto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a67de"/>
    <w:rPr>
      <w:rFonts w:eastAsia="Times New Roman"/>
      <w:b/>
      <w:color w:val="auto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6a67de"/>
    <w:rPr>
      <w:rFonts w:eastAsia="Times New Roman"/>
      <w:b/>
      <w:i/>
      <w:iCs/>
      <w:color w:val="auto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6a67de"/>
    <w:rPr>
      <w:rFonts w:eastAsia="Times New Roman"/>
      <w:b/>
      <w:color w:val="auto"/>
      <w:sz w:val="22"/>
      <w:szCs w:val="22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7" w:customStyle="1">
    <w:name w:val="Текст сноски Знак"/>
    <w:basedOn w:val="DefaultParagraphFont"/>
    <w:link w:val="a5"/>
    <w:qFormat/>
    <w:rsid w:val="006a67de"/>
    <w:rPr>
      <w:rFonts w:eastAsia="Times New Roman"/>
      <w:bCs w:val="false"/>
      <w:color w:val="auto"/>
      <w:lang w:eastAsia="ru-RU"/>
    </w:rPr>
  </w:style>
  <w:style w:type="character" w:styleId="Style8" w:customStyle="1">
    <w:name w:val="Текст примечания Знак"/>
    <w:basedOn w:val="DefaultParagraphFont"/>
    <w:link w:val="a7"/>
    <w:semiHidden/>
    <w:qFormat/>
    <w:rsid w:val="006a67de"/>
    <w:rPr>
      <w:rFonts w:eastAsia="Times New Roman"/>
      <w:bCs w:val="false"/>
      <w:color w:val="auto"/>
      <w:lang w:eastAsia="ru-RU"/>
    </w:rPr>
  </w:style>
  <w:style w:type="character" w:styleId="Style9" w:customStyle="1">
    <w:name w:val="Верхний колонтитул Знак"/>
    <w:basedOn w:val="DefaultParagraphFont"/>
    <w:link w:val="a9"/>
    <w:qFormat/>
    <w:rsid w:val="006a67de"/>
    <w:rPr>
      <w:rFonts w:eastAsia="Times New Roman"/>
      <w:bCs w:val="false"/>
      <w:color w:val="auto"/>
      <w:lang w:eastAsia="ru-RU"/>
    </w:rPr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6a67de"/>
    <w:rPr>
      <w:rFonts w:eastAsia="Times New Roman"/>
      <w:bCs w:val="false"/>
      <w:color w:val="auto"/>
      <w:lang w:eastAsia="ru-RU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qFormat/>
    <w:rsid w:val="006a67de"/>
    <w:rPr>
      <w:vertAlign w:val="superscript"/>
    </w:rPr>
  </w:style>
  <w:style w:type="character" w:styleId="Annotationreference">
    <w:name w:val="annotation reference"/>
    <w:semiHidden/>
    <w:qFormat/>
    <w:rsid w:val="006a67de"/>
    <w:rPr>
      <w:sz w:val="16"/>
      <w:szCs w:val="16"/>
    </w:rPr>
  </w:style>
  <w:style w:type="character" w:styleId="Style12" w:customStyle="1">
    <w:name w:val="Основной текст Знак"/>
    <w:link w:val="af1"/>
    <w:qFormat/>
    <w:rsid w:val="006a67de"/>
    <w:rPr>
      <w:rFonts w:eastAsia="Times New Roman"/>
      <w:bCs w:val="false"/>
      <w:color w:val="auto"/>
      <w:lang w:val="x-none" w:eastAsia="x-none"/>
    </w:rPr>
  </w:style>
  <w:style w:type="character" w:styleId="Style13" w:customStyle="1">
    <w:name w:val="Основной текст с отступом Знак"/>
    <w:basedOn w:val="DefaultParagraphFont"/>
    <w:link w:val="af3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14" w:customStyle="1">
    <w:name w:val="Красная строка Знак"/>
    <w:basedOn w:val="Style12"/>
    <w:link w:val="af5"/>
    <w:qFormat/>
    <w:rsid w:val="006a67de"/>
    <w:rPr>
      <w:rFonts w:eastAsia="Times New Roman"/>
      <w:b/>
      <w:bCs w:val="false"/>
      <w:color w:val="auto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6a67de"/>
    <w:rPr>
      <w:rFonts w:eastAsia="Times New Roman"/>
      <w:bCs w:val="false"/>
      <w:color w:val="auto"/>
      <w:lang w:eastAsia="ru-RU"/>
    </w:rPr>
  </w:style>
  <w:style w:type="character" w:styleId="Style15">
    <w:name w:val="Интернет-ссылка"/>
    <w:uiPriority w:val="99"/>
    <w:rsid w:val="006a67de"/>
    <w:rPr>
      <w:color w:val="0000FF"/>
      <w:u w:val="single"/>
    </w:rPr>
  </w:style>
  <w:style w:type="character" w:styleId="Strong">
    <w:name w:val="Strong"/>
    <w:uiPriority w:val="22"/>
    <w:qFormat/>
    <w:rsid w:val="006a67de"/>
    <w:rPr>
      <w:b/>
      <w:bCs w:val="false"/>
    </w:rPr>
  </w:style>
  <w:style w:type="character" w:styleId="Style16" w:customStyle="1">
    <w:name w:val="Схема документа Знак"/>
    <w:basedOn w:val="DefaultParagraphFont"/>
    <w:link w:val="af9"/>
    <w:semiHidden/>
    <w:qFormat/>
    <w:rsid w:val="006a67de"/>
    <w:rPr>
      <w:rFonts w:ascii="Tahoma" w:hAnsi="Tahoma" w:eastAsia="Times New Roman" w:cs="Tahoma"/>
      <w:color w:val="auto"/>
      <w:shd w:fill="000080" w:val="clear"/>
      <w:lang w:eastAsia="ru-RU"/>
    </w:rPr>
  </w:style>
  <w:style w:type="character" w:styleId="Style17" w:customStyle="1">
    <w:name w:val="Тема примечания Знак"/>
    <w:basedOn w:val="Style8"/>
    <w:link w:val="afd"/>
    <w:semiHidden/>
    <w:qFormat/>
    <w:rsid w:val="006a67de"/>
    <w:rPr>
      <w:rFonts w:eastAsia="Times New Roman"/>
      <w:b/>
      <w:bCs/>
      <w:color w:val="auto"/>
      <w:lang w:eastAsia="ru-RU"/>
    </w:rPr>
  </w:style>
  <w:style w:type="character" w:styleId="Style18" w:customStyle="1">
    <w:name w:val="Текст выноски Знак"/>
    <w:basedOn w:val="DefaultParagraphFont"/>
    <w:link w:val="aff"/>
    <w:semiHidden/>
    <w:qFormat/>
    <w:rsid w:val="006a67de"/>
    <w:rPr>
      <w:rFonts w:ascii="Tahoma" w:hAnsi="Tahoma" w:eastAsia="Times New Roman" w:cs="Tahoma"/>
      <w:bCs w:val="false"/>
      <w:color w:val="auto"/>
      <w:sz w:val="16"/>
      <w:szCs w:val="16"/>
      <w:lang w:eastAsia="ru-RU"/>
    </w:rPr>
  </w:style>
  <w:style w:type="character" w:styleId="Style19" w:customStyle="1">
    <w:name w:val="Абзац списка Знак"/>
    <w:link w:val="aff3"/>
    <w:uiPriority w:val="34"/>
    <w:qFormat/>
    <w:locked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FollowedHyperlink">
    <w:name w:val="FollowedHyperlink"/>
    <w:basedOn w:val="DefaultParagraphFont"/>
    <w:qFormat/>
    <w:rsid w:val="0031301c"/>
    <w:rPr>
      <w:color w:val="954F72" w:themeColor="followed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2"/>
    <w:rsid w:val="006a67de"/>
    <w:pPr>
      <w:spacing w:before="0" w:after="120"/>
      <w:jc w:val="both"/>
    </w:pPr>
    <w:rPr>
      <w:bCs/>
      <w:sz w:val="20"/>
      <w:szCs w:val="20"/>
      <w:lang w:val="x-none" w:eastAsia="x-none"/>
    </w:rPr>
  </w:style>
  <w:style w:type="paragraph" w:styleId="Style22">
    <w:name w:val="List"/>
    <w:basedOn w:val="Normal"/>
    <w:rsid w:val="006a67de"/>
    <w:pPr>
      <w:ind w:left="360" w:hanging="360"/>
    </w:pPr>
    <w:rPr>
      <w:bCs/>
      <w:sz w:val="20"/>
      <w:szCs w:val="21"/>
      <w:lang w:eastAsia="en-U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32" w:customStyle="1">
    <w:name w:val="заголовок 3"/>
    <w:basedOn w:val="Normal"/>
    <w:next w:val="Normal"/>
    <w:qFormat/>
    <w:rsid w:val="006a67de"/>
    <w:pPr>
      <w:keepNext w:val="true"/>
      <w:spacing w:before="240" w:after="60"/>
      <w:jc w:val="both"/>
    </w:pPr>
    <w:rPr>
      <w:b/>
      <w:bCs/>
      <w:sz w:val="20"/>
      <w:szCs w:val="20"/>
      <w:lang w:eastAsia="en-US"/>
    </w:rPr>
  </w:style>
  <w:style w:type="paragraph" w:styleId="72" w:customStyle="1">
    <w:name w:val="заголовок 7"/>
    <w:basedOn w:val="Normal"/>
    <w:next w:val="Normal"/>
    <w:qFormat/>
    <w:rsid w:val="006a67de"/>
    <w:pPr>
      <w:keepNext w:val="true"/>
      <w:jc w:val="both"/>
    </w:pPr>
    <w:rPr>
      <w:b/>
      <w:bCs/>
      <w:sz w:val="20"/>
      <w:szCs w:val="20"/>
      <w:lang w:eastAsia="en-US"/>
    </w:rPr>
  </w:style>
  <w:style w:type="paragraph" w:styleId="Font8" w:customStyle="1">
    <w:name w:val="font8"/>
    <w:uiPriority w:val="99"/>
    <w:qFormat/>
    <w:rsid w:val="006a67de"/>
    <w:pPr>
      <w:widowControl/>
      <w:bidi w:val="0"/>
      <w:spacing w:before="100" w:after="100"/>
      <w:jc w:val="left"/>
    </w:pPr>
    <w:rPr>
      <w:rFonts w:ascii="Arial" w:hAnsi="Arial" w:eastAsia="Times New Roman" w:cs="Arial"/>
      <w:bCs w:val="false"/>
      <w:color w:val="auto"/>
      <w:kern w:val="0"/>
      <w:sz w:val="18"/>
      <w:szCs w:val="18"/>
      <w:lang w:eastAsia="ru-RU" w:val="ru-RU" w:bidi="ar-SA"/>
    </w:rPr>
  </w:style>
  <w:style w:type="paragraph" w:styleId="Style25" w:customStyle="1">
    <w:name w:val="Содержимое таблицы"/>
    <w:basedOn w:val="Normal"/>
    <w:qFormat/>
    <w:rsid w:val="006a67de"/>
    <w:pPr>
      <w:widowControl w:val="false"/>
      <w:suppressLineNumbers/>
      <w:suppressAutoHyphens w:val="true"/>
    </w:pPr>
    <w:rPr>
      <w:rFonts w:eastAsia="Lucida Sans Unicode"/>
      <w:bCs/>
      <w:kern w:val="2"/>
      <w:sz w:val="20"/>
      <w:szCs w:val="21"/>
      <w:lang w:eastAsia="en-US"/>
    </w:rPr>
  </w:style>
  <w:style w:type="paragraph" w:styleId="Style26">
    <w:name w:val="Footnote Text"/>
    <w:basedOn w:val="Normal"/>
    <w:link w:val="a6"/>
    <w:rsid w:val="006a67de"/>
    <w:pPr/>
    <w:rPr>
      <w:bCs/>
      <w:sz w:val="20"/>
      <w:szCs w:val="20"/>
      <w:lang w:eastAsia="en-US"/>
    </w:rPr>
  </w:style>
  <w:style w:type="paragraph" w:styleId="Annotationtext">
    <w:name w:val="annotation text"/>
    <w:basedOn w:val="Normal"/>
    <w:link w:val="a8"/>
    <w:semiHidden/>
    <w:qFormat/>
    <w:rsid w:val="006a67de"/>
    <w:pPr/>
    <w:rPr>
      <w:bCs/>
      <w:sz w:val="20"/>
      <w:szCs w:val="20"/>
      <w:lang w:eastAsia="en-U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rsid w:val="006a67de"/>
    <w:pPr>
      <w:tabs>
        <w:tab w:val="clear" w:pos="708"/>
        <w:tab w:val="center" w:pos="4677" w:leader="none"/>
        <w:tab w:val="right" w:pos="9355" w:leader="none"/>
      </w:tabs>
    </w:pPr>
    <w:rPr>
      <w:bCs/>
      <w:sz w:val="20"/>
      <w:szCs w:val="20"/>
      <w:lang w:eastAsia="en-US"/>
    </w:rPr>
  </w:style>
  <w:style w:type="paragraph" w:styleId="Style29">
    <w:name w:val="Footer"/>
    <w:basedOn w:val="Normal"/>
    <w:link w:val="ac"/>
    <w:uiPriority w:val="99"/>
    <w:rsid w:val="006a67de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bCs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6a67de"/>
    <w:pPr/>
    <w:rPr>
      <w:b/>
      <w:sz w:val="20"/>
      <w:szCs w:val="20"/>
      <w:lang w:eastAsia="en-US"/>
    </w:rPr>
  </w:style>
  <w:style w:type="paragraph" w:styleId="ListBullet">
    <w:name w:val="List Bullet"/>
    <w:basedOn w:val="Normal"/>
    <w:qFormat/>
    <w:rsid w:val="006a67de"/>
    <w:pPr/>
    <w:rPr>
      <w:bCs/>
      <w:sz w:val="20"/>
      <w:szCs w:val="21"/>
      <w:lang w:eastAsia="en-US"/>
    </w:rPr>
  </w:style>
  <w:style w:type="paragraph" w:styleId="Style30">
    <w:name w:val="Body Text Indent"/>
    <w:basedOn w:val="Normal"/>
    <w:link w:val="af4"/>
    <w:rsid w:val="006a67de"/>
    <w:pPr>
      <w:ind w:firstLine="252"/>
      <w:jc w:val="both"/>
    </w:pPr>
    <w:rPr>
      <w:bCs/>
      <w:sz w:val="20"/>
      <w:szCs w:val="21"/>
      <w:lang w:eastAsia="en-US"/>
    </w:rPr>
  </w:style>
  <w:style w:type="paragraph" w:styleId="BodyTextIndent">
    <w:name w:val="Body Text Indent"/>
    <w:basedOn w:val="Style21"/>
    <w:link w:val="af6"/>
    <w:qFormat/>
    <w:rsid w:val="006a67de"/>
    <w:pPr>
      <w:ind w:firstLine="210"/>
      <w:jc w:val="left"/>
    </w:pPr>
    <w:rPr>
      <w:b/>
      <w:szCs w:val="24"/>
    </w:rPr>
  </w:style>
  <w:style w:type="paragraph" w:styleId="BodyText2">
    <w:name w:val="Body Text 2"/>
    <w:basedOn w:val="Normal"/>
    <w:link w:val="22"/>
    <w:qFormat/>
    <w:rsid w:val="006a67de"/>
    <w:pPr>
      <w:jc w:val="both"/>
    </w:pPr>
    <w:rPr>
      <w:bCs/>
      <w:sz w:val="20"/>
      <w:szCs w:val="20"/>
      <w:lang w:eastAsia="en-US"/>
    </w:rPr>
  </w:style>
  <w:style w:type="paragraph" w:styleId="DocumentMap">
    <w:name w:val="Document Map"/>
    <w:basedOn w:val="Normal"/>
    <w:link w:val="afa"/>
    <w:semiHidden/>
    <w:qFormat/>
    <w:rsid w:val="006a67de"/>
    <w:pPr>
      <w:shd w:val="clear" w:color="auto" w:fill="000080"/>
    </w:pPr>
    <w:rPr>
      <w:rFonts w:ascii="Tahoma" w:hAnsi="Tahoma" w:cs="Tahoma"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6a67de"/>
    <w:pPr/>
    <w:rPr>
      <w:rFonts w:eastAsia="Calibri" w:eastAsiaTheme="minorHAnsi"/>
      <w:bCs/>
      <w:sz w:val="20"/>
      <w:szCs w:val="21"/>
      <w:lang w:eastAsia="en-US"/>
    </w:rPr>
  </w:style>
  <w:style w:type="paragraph" w:styleId="Annotationsubject">
    <w:name w:val="annotation subject"/>
    <w:basedOn w:val="Annotationtext"/>
    <w:next w:val="Annotationtext"/>
    <w:link w:val="afe"/>
    <w:semiHidden/>
    <w:qFormat/>
    <w:rsid w:val="006a67de"/>
    <w:pPr/>
    <w:rPr>
      <w:b/>
      <w:bCs w:val="false"/>
    </w:rPr>
  </w:style>
  <w:style w:type="paragraph" w:styleId="BalloonText">
    <w:name w:val="Balloon Text"/>
    <w:basedOn w:val="Normal"/>
    <w:link w:val="aff0"/>
    <w:semiHidden/>
    <w:qFormat/>
    <w:rsid w:val="006a67de"/>
    <w:pPr/>
    <w:rPr>
      <w:rFonts w:ascii="Tahoma" w:hAnsi="Tahoma" w:cs="Tahoma"/>
      <w:bCs/>
      <w:sz w:val="16"/>
      <w:szCs w:val="16"/>
      <w:lang w:eastAsia="en-US"/>
    </w:rPr>
  </w:style>
  <w:style w:type="paragraph" w:styleId="NoSpacing">
    <w:name w:val="No Spacing"/>
    <w:uiPriority w:val="1"/>
    <w:qFormat/>
    <w:rsid w:val="006a67de"/>
    <w:pPr>
      <w:widowControl/>
      <w:bidi w:val="0"/>
      <w:jc w:val="left"/>
    </w:pPr>
    <w:rPr>
      <w:rFonts w:eastAsia="Times New Roman" w:ascii="Times New Roman" w:hAnsi="Times New Roman" w:cs="Times New Roman"/>
      <w:bCs w:val="false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link w:val="aff4"/>
    <w:uiPriority w:val="34"/>
    <w:qFormat/>
    <w:rsid w:val="006a67de"/>
    <w:pPr>
      <w:ind w:left="708" w:hanging="0"/>
    </w:pPr>
    <w:rPr>
      <w:bCs/>
      <w:sz w:val="20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59"/>
    <w:rsid w:val="006a67de"/>
    <w:rPr>
      <w:lang w:eastAsia="ru-RU"/>
      <w:b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403688082/" TargetMode="External"/><Relationship Id="rId3" Type="http://schemas.openxmlformats.org/officeDocument/2006/relationships/hyperlink" Target="http://www.garantnn.ru/" TargetMode="External"/><Relationship Id="rId4" Type="http://schemas.openxmlformats.org/officeDocument/2006/relationships/hyperlink" Target="https://xn--52-9kcqjffxnf3b.xn--p1ai/" TargetMode="External"/><Relationship Id="rId5" Type="http://schemas.openxmlformats.org/officeDocument/2006/relationships/hyperlink" Target="https://base.garant.ru/403688082/" TargetMode="External"/><Relationship Id="rId6" Type="http://schemas.openxmlformats.org/officeDocument/2006/relationships/hyperlink" Target="http://www.garantnn.ru/" TargetMode="External"/><Relationship Id="rId7" Type="http://schemas.openxmlformats.org/officeDocument/2006/relationships/hyperlink" Target="https://xn--52-9kcqjffxnf3b.xn--p1a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LibreOffice/6.3.1.2$Windows_X86_64 LibreOffice_project/b79626edf0065ac373bd1df5c28bd630b4424273</Application>
  <Pages>4</Pages>
  <Words>605</Words>
  <Characters>3914</Characters>
  <CharactersWithSpaces>4446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2022-08-22T06:32:00Z</dcterms:created>
  <dc:creator>Бурина Ирина А.</dc:creator>
  <dc:description/>
  <dc:language>ru-RU</dc:language>
  <cp:lastModifiedBy>Бурина Ирина А.</cp:lastModifiedBy>
  <cp:lastPrinted>2022-08-22T06:44:00Z</cp:lastPrinted>
  <dcterms:modified xsi:type="dcterms:W3CDTF">2022-08-22T13:03:00Z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