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mc:AlternateContent>
          <mc:Choice Requires="wps">
            <w:drawing>
              <wp:inline distT="0" distB="0" distL="0" distR="0">
                <wp:extent cx="524510" cy="657860"/>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2"/>
                        <a:stretch/>
                      </pic:blipFill>
                      <pic:spPr>
                        <a:xfrm>
                          <a:off x="0" y="0"/>
                          <a:ext cx="523800" cy="65736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style="position:absolute;margin-left:0pt;margin-top:-51.8pt;width:41.2pt;height:51.7pt;mso-wrap-style:none;v-text-anchor:middle;mso-position-vertical:top" type="shapetype_75">
                <v:imagedata r:id="rId2" o:detectmouseclick="t"/>
                <v:stroke color="#3465a4" joinstyle="round" endcap="flat"/>
                <w10:wrap type="none"/>
              </v:shape>
            </w:pict>
          </mc:Fallback>
        </mc:AlternateContent>
      </w:r>
    </w:p>
    <w:p>
      <w:pPr>
        <w:pStyle w:val="1"/>
        <w:numPr>
          <w:ilvl w:val="0"/>
          <w:numId w:val="0"/>
        </w:numPr>
        <w:tabs>
          <w:tab w:val="clear" w:pos="708"/>
          <w:tab w:val="left" w:pos="0" w:leader="none"/>
        </w:tabs>
        <w:ind w:left="0" w:hanging="0"/>
        <w:rPr>
          <w:rFonts w:ascii="Arial" w:hAnsi="Arial" w:cs="Arial"/>
          <w:sz w:val="24"/>
        </w:rPr>
      </w:pPr>
      <w:r>
        <w:rPr>
          <w:rFonts w:cs="Arial" w:ascii="Arial" w:hAnsi="Arial"/>
          <w:sz w:val="24"/>
        </w:rPr>
        <w:t>Сельский Совет</w:t>
      </w:r>
    </w:p>
    <w:p>
      <w:pPr>
        <w:pStyle w:val="Normal"/>
        <w:spacing w:lineRule="auto" w:line="240" w:before="0" w:after="0"/>
        <w:jc w:val="center"/>
        <w:rPr>
          <w:rFonts w:ascii="Arial" w:hAnsi="Arial" w:cs="Arial"/>
          <w:b/>
          <w:b/>
          <w:sz w:val="24"/>
          <w:szCs w:val="24"/>
        </w:rPr>
      </w:pPr>
      <w:r>
        <w:rPr>
          <w:rFonts w:cs="Arial" w:ascii="Arial" w:hAnsi="Arial"/>
          <w:b/>
          <w:sz w:val="24"/>
          <w:szCs w:val="24"/>
        </w:rPr>
        <w:t>С</w:t>
      </w:r>
      <w:r>
        <w:rPr>
          <w:rFonts w:cs="Arial" w:ascii="Arial" w:hAnsi="Arial"/>
          <w:b/>
          <w:sz w:val="24"/>
          <w:szCs w:val="24"/>
        </w:rPr>
        <w:t>тароиванцевского</w:t>
      </w:r>
      <w:r>
        <w:rPr>
          <w:rFonts w:cs="Arial" w:ascii="Arial" w:hAnsi="Arial"/>
          <w:b/>
          <w:sz w:val="24"/>
          <w:szCs w:val="24"/>
        </w:rPr>
        <w:t xml:space="preserve"> сельсовета</w:t>
      </w:r>
    </w:p>
    <w:p>
      <w:pPr>
        <w:pStyle w:val="1"/>
        <w:numPr>
          <w:ilvl w:val="0"/>
          <w:numId w:val="0"/>
        </w:numPr>
        <w:tabs>
          <w:tab w:val="clear" w:pos="708"/>
          <w:tab w:val="left" w:pos="0" w:leader="none"/>
        </w:tabs>
        <w:ind w:left="0" w:hanging="0"/>
        <w:rPr>
          <w:rFonts w:ascii="Arial" w:hAnsi="Arial" w:cs="Arial"/>
          <w:sz w:val="24"/>
        </w:rPr>
      </w:pPr>
      <w:r>
        <w:rPr>
          <w:rFonts w:cs="Arial" w:ascii="Arial" w:hAnsi="Arial"/>
          <w:sz w:val="24"/>
        </w:rPr>
        <w:t>Шатковского муниципального района</w:t>
      </w:r>
    </w:p>
    <w:p>
      <w:pPr>
        <w:pStyle w:val="1"/>
        <w:numPr>
          <w:ilvl w:val="0"/>
          <w:numId w:val="0"/>
        </w:numPr>
        <w:tabs>
          <w:tab w:val="clear" w:pos="708"/>
          <w:tab w:val="left" w:pos="0" w:leader="none"/>
        </w:tabs>
        <w:ind w:left="0" w:hanging="0"/>
        <w:rPr>
          <w:rFonts w:ascii="Arial" w:hAnsi="Arial" w:cs="Arial"/>
          <w:sz w:val="24"/>
        </w:rPr>
      </w:pPr>
      <w:r>
        <w:rPr>
          <w:rFonts w:cs="Arial" w:ascii="Arial" w:hAnsi="Arial"/>
          <w:sz w:val="24"/>
        </w:rPr>
        <w:t>Нижегородской области</w:t>
      </w:r>
    </w:p>
    <w:p>
      <w:pPr>
        <w:pStyle w:val="2"/>
        <w:numPr>
          <w:ilvl w:val="0"/>
          <w:numId w:val="0"/>
        </w:numPr>
        <w:tabs>
          <w:tab w:val="clear" w:pos="708"/>
          <w:tab w:val="left" w:pos="0" w:leader="none"/>
        </w:tabs>
        <w:ind w:left="0" w:hanging="0"/>
        <w:rPr>
          <w:rFonts w:ascii="Arial" w:hAnsi="Arial" w:cs="Arial"/>
          <w:spacing w:val="20"/>
          <w:sz w:val="24"/>
        </w:rPr>
      </w:pPr>
      <w:r>
        <w:rPr>
          <w:rFonts w:cs="Arial" w:ascii="Arial" w:hAnsi="Arial"/>
          <w:spacing w:val="20"/>
          <w:sz w:val="24"/>
        </w:rPr>
      </w:r>
    </w:p>
    <w:p>
      <w:pPr>
        <w:pStyle w:val="2"/>
        <w:numPr>
          <w:ilvl w:val="0"/>
          <w:numId w:val="0"/>
        </w:numPr>
        <w:tabs>
          <w:tab w:val="clear" w:pos="708"/>
          <w:tab w:val="left" w:pos="0" w:leader="none"/>
        </w:tabs>
        <w:ind w:left="0" w:hanging="0"/>
        <w:rPr>
          <w:rFonts w:ascii="Arial" w:hAnsi="Arial" w:cs="Arial"/>
          <w:spacing w:val="20"/>
          <w:sz w:val="24"/>
        </w:rPr>
      </w:pPr>
      <w:r>
        <w:rPr>
          <w:rFonts w:cs="Arial" w:ascii="Arial" w:hAnsi="Arial"/>
          <w:spacing w:val="20"/>
          <w:sz w:val="24"/>
        </w:rPr>
        <w:t>РЕШЕНИЕ</w:t>
      </w:r>
    </w:p>
    <w:p>
      <w:pPr>
        <w:pStyle w:val="2"/>
        <w:numPr>
          <w:ilvl w:val="0"/>
          <w:numId w:val="0"/>
        </w:numPr>
        <w:tabs>
          <w:tab w:val="clear" w:pos="708"/>
          <w:tab w:val="left" w:pos="0" w:leader="none"/>
        </w:tabs>
        <w:ind w:left="0" w:hanging="0"/>
        <w:rPr>
          <w:rFonts w:ascii="Arial" w:hAnsi="Arial" w:cs="Arial"/>
          <w:spacing w:val="20"/>
          <w:sz w:val="24"/>
        </w:rPr>
      </w:pPr>
      <w:r>
        <w:rPr>
          <w:rFonts w:cs="Arial" w:ascii="Arial" w:hAnsi="Arial"/>
          <w:spacing w:val="20"/>
          <w:sz w:val="24"/>
        </w:rPr>
        <w:tab/>
      </w:r>
    </w:p>
    <w:tbl>
      <w:tblPr>
        <w:tblW w:w="7740" w:type="dxa"/>
        <w:jc w:val="left"/>
        <w:tblInd w:w="1008" w:type="dxa"/>
        <w:tblLayout w:type="fixed"/>
        <w:tblCellMar>
          <w:top w:w="0" w:type="dxa"/>
          <w:left w:w="108" w:type="dxa"/>
          <w:bottom w:w="0" w:type="dxa"/>
          <w:right w:w="108" w:type="dxa"/>
        </w:tblCellMar>
        <w:tblLook w:val="0000"/>
      </w:tblPr>
      <w:tblGrid>
        <w:gridCol w:w="3239"/>
        <w:gridCol w:w="2700"/>
        <w:gridCol w:w="1801"/>
      </w:tblGrid>
      <w:tr>
        <w:trPr>
          <w:trHeight w:val="368" w:hRule="atLeast"/>
          <w:cantSplit w:val="true"/>
        </w:trPr>
        <w:tc>
          <w:tcPr>
            <w:tcW w:w="3239" w:type="dxa"/>
            <w:tcBorders>
              <w:bottom w:val="single" w:sz="4" w:space="0" w:color="000000"/>
            </w:tcBorders>
          </w:tcPr>
          <w:p>
            <w:pPr>
              <w:pStyle w:val="Normal"/>
              <w:widowControl w:val="false"/>
              <w:suppressAutoHyphens w:val="true"/>
              <w:snapToGrid w:val="false"/>
              <w:spacing w:lineRule="auto" w:line="240" w:before="0" w:after="0"/>
              <w:rPr>
                <w:rFonts w:ascii="Arial" w:hAnsi="Arial" w:cs="Arial"/>
                <w:sz w:val="24"/>
                <w:szCs w:val="24"/>
                <w:lang w:eastAsia="ar-SA"/>
              </w:rPr>
            </w:pPr>
            <w:r>
              <w:rPr>
                <w:rFonts w:cs="Arial" w:ascii="Arial" w:hAnsi="Arial"/>
                <w:sz w:val="24"/>
                <w:szCs w:val="24"/>
              </w:rPr>
              <w:t xml:space="preserve">26 января 2022 </w:t>
            </w:r>
          </w:p>
        </w:tc>
        <w:tc>
          <w:tcPr>
            <w:tcW w:w="2700" w:type="dxa"/>
            <w:tcBorders/>
          </w:tcPr>
          <w:p>
            <w:pPr>
              <w:pStyle w:val="Normal"/>
              <w:widowControl w:val="false"/>
              <w:suppressAutoHyphens w:val="true"/>
              <w:snapToGrid w:val="false"/>
              <w:spacing w:lineRule="auto" w:line="240" w:before="0" w:after="0"/>
              <w:jc w:val="right"/>
              <w:rPr>
                <w:rFonts w:ascii="Arial" w:hAnsi="Arial" w:cs="Arial"/>
                <w:sz w:val="24"/>
                <w:szCs w:val="24"/>
                <w:lang w:eastAsia="ar-SA"/>
              </w:rPr>
            </w:pPr>
            <w:r>
              <w:rPr>
                <w:rFonts w:cs="Arial" w:ascii="Arial" w:hAnsi="Arial"/>
                <w:sz w:val="24"/>
                <w:szCs w:val="24"/>
              </w:rPr>
              <w:t>№</w:t>
            </w:r>
          </w:p>
        </w:tc>
        <w:tc>
          <w:tcPr>
            <w:tcW w:w="1801" w:type="dxa"/>
            <w:tcBorders>
              <w:bottom w:val="single" w:sz="4" w:space="0" w:color="000000"/>
            </w:tcBorders>
          </w:tcPr>
          <w:p>
            <w:pPr>
              <w:pStyle w:val="Normal"/>
              <w:widowControl w:val="false"/>
              <w:suppressAutoHyphens w:val="true"/>
              <w:snapToGrid w:val="false"/>
              <w:spacing w:lineRule="auto" w:line="240" w:before="0" w:after="0"/>
              <w:rPr>
                <w:rFonts w:ascii="Arial" w:hAnsi="Arial" w:cs="Arial"/>
                <w:sz w:val="24"/>
                <w:szCs w:val="24"/>
                <w:lang w:eastAsia="ar-SA"/>
              </w:rPr>
            </w:pPr>
            <w:r>
              <w:rPr>
                <w:rFonts w:cs="Arial" w:ascii="Arial" w:hAnsi="Arial"/>
                <w:sz w:val="24"/>
                <w:szCs w:val="24"/>
              </w:rPr>
              <w:t>2</w:t>
            </w:r>
          </w:p>
        </w:tc>
      </w:tr>
    </w:tbl>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t xml:space="preserve">Об утверждении изменений в Правила землепользования и застройки сельского поселения </w:t>
      </w:r>
      <w:r>
        <w:rPr>
          <w:rFonts w:cs="Arial" w:ascii="Arial" w:hAnsi="Arial"/>
          <w:b/>
          <w:sz w:val="24"/>
          <w:szCs w:val="24"/>
        </w:rPr>
        <w:t xml:space="preserve">Староиванцевский </w:t>
      </w:r>
      <w:r>
        <w:rPr>
          <w:rFonts w:cs="Arial" w:ascii="Arial" w:hAnsi="Arial"/>
          <w:b/>
          <w:sz w:val="24"/>
          <w:szCs w:val="24"/>
        </w:rPr>
        <w:t xml:space="preserve"> сельсовет Шатковского муниципального района Нижегородской области, утвержденные решением Земского собрания Шатковского муниципального района Нижегородской области  </w:t>
      </w:r>
      <w:r>
        <w:rPr>
          <w:rFonts w:cs="Times New Roman" w:ascii="Times New Roman" w:hAnsi="Times New Roman"/>
          <w:b/>
          <w:bCs/>
          <w:sz w:val="26"/>
          <w:szCs w:val="26"/>
          <w:lang w:val="en-US"/>
        </w:rPr>
        <w:t>№</w:t>
      </w:r>
      <w:r>
        <w:rPr>
          <w:rFonts w:eastAsia="Times New Roman" w:cs="Times New Roman" w:ascii="Times New Roman" w:hAnsi="Times New Roman"/>
          <w:b/>
          <w:bCs/>
          <w:sz w:val="26"/>
          <w:szCs w:val="26"/>
          <w:lang w:val="en-US"/>
        </w:rPr>
        <w:t xml:space="preserve">  </w:t>
      </w:r>
      <w:r>
        <w:rPr>
          <w:rFonts w:cs="Times New Roman" w:ascii="Times New Roman" w:hAnsi="Times New Roman"/>
          <w:b/>
          <w:bCs/>
          <w:sz w:val="26"/>
          <w:szCs w:val="26"/>
          <w:u w:val="none"/>
          <w:lang w:val="en-US"/>
        </w:rPr>
        <w:t>56-VI от  « 11 » августа 2017 года</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ind w:firstLine="540"/>
        <w:jc w:val="both"/>
        <w:rPr>
          <w:rFonts w:ascii="Times New Roman" w:hAnsi="Times New Roman"/>
          <w:sz w:val="26"/>
          <w:szCs w:val="26"/>
        </w:rPr>
      </w:pPr>
      <w:r>
        <w:rPr>
          <w:rFonts w:cs="Arial" w:ascii="Times New Roman" w:hAnsi="Times New Roman"/>
          <w:sz w:val="26"/>
          <w:szCs w:val="26"/>
        </w:rPr>
        <w:t>В соответствии со статьей 31, 33 Градостроительного кодекса Российской Федерации, пунктом 20 статьи 14 Федерального закона от 06.10.2003г. № 131-ФЗ «Об общих принципах организации местного самоуправления в Российской Федерации» сельский Совет С</w:t>
      </w:r>
      <w:r>
        <w:rPr>
          <w:rFonts w:cs="Arial" w:ascii="Times New Roman" w:hAnsi="Times New Roman"/>
          <w:sz w:val="26"/>
          <w:szCs w:val="26"/>
        </w:rPr>
        <w:t>тароиванцевского</w:t>
      </w:r>
      <w:r>
        <w:rPr>
          <w:rFonts w:cs="Arial" w:ascii="Times New Roman" w:hAnsi="Times New Roman"/>
          <w:sz w:val="26"/>
          <w:szCs w:val="26"/>
        </w:rPr>
        <w:t xml:space="preserve"> сельсовета РЕШИЛ:</w:t>
      </w:r>
    </w:p>
    <w:p>
      <w:pPr>
        <w:pStyle w:val="Normal"/>
        <w:spacing w:lineRule="auto" w:line="240" w:before="0" w:after="0"/>
        <w:ind w:firstLine="540"/>
        <w:jc w:val="both"/>
        <w:rPr>
          <w:rFonts w:ascii="Times New Roman" w:hAnsi="Times New Roman"/>
          <w:sz w:val="26"/>
          <w:szCs w:val="26"/>
        </w:rPr>
      </w:pPr>
      <w:r>
        <w:rPr>
          <w:rFonts w:cs="Arial" w:ascii="Times New Roman" w:hAnsi="Times New Roman"/>
          <w:sz w:val="26"/>
          <w:szCs w:val="26"/>
        </w:rPr>
        <w:t>1. Утвердить изменения в Правила землепользования и застройки сельского поселения С</w:t>
      </w:r>
      <w:r>
        <w:rPr>
          <w:rFonts w:cs="Arial" w:ascii="Times New Roman" w:hAnsi="Times New Roman"/>
          <w:sz w:val="26"/>
          <w:szCs w:val="26"/>
        </w:rPr>
        <w:t xml:space="preserve">тароиванцевский </w:t>
      </w:r>
      <w:r>
        <w:rPr>
          <w:rFonts w:cs="Arial" w:ascii="Times New Roman" w:hAnsi="Times New Roman"/>
          <w:sz w:val="26"/>
          <w:szCs w:val="26"/>
        </w:rPr>
        <w:t xml:space="preserve"> сельсовет Шатковского муниципального района Нижегородской области, утвержденные решением Земского собрания Шатковского муниципального района Нижегородской области от 13.10.2017 года № 81-</w:t>
      </w:r>
      <w:r>
        <w:rPr>
          <w:rFonts w:cs="Arial" w:ascii="Times New Roman" w:hAnsi="Times New Roman"/>
          <w:sz w:val="26"/>
          <w:szCs w:val="26"/>
          <w:lang w:val="en-US"/>
        </w:rPr>
        <w:t>VI</w:t>
      </w:r>
      <w:r>
        <w:rPr>
          <w:rFonts w:cs="Arial" w:ascii="Times New Roman" w:hAnsi="Times New Roman"/>
          <w:sz w:val="26"/>
          <w:szCs w:val="26"/>
        </w:rPr>
        <w:t xml:space="preserve"> (далее – Правила), </w:t>
      </w:r>
      <w:r>
        <w:rPr>
          <w:rFonts w:cs="Arial" w:ascii="Times New Roman" w:hAnsi="Times New Roman"/>
          <w:sz w:val="26"/>
          <w:szCs w:val="26"/>
          <w:lang w:eastAsia="ar-SA"/>
        </w:rPr>
        <w:t>следующего содержания:</w:t>
      </w:r>
    </w:p>
    <w:p>
      <w:pPr>
        <w:pStyle w:val="Normal"/>
        <w:spacing w:lineRule="auto" w:line="240" w:before="0" w:after="0"/>
        <w:ind w:firstLine="540"/>
        <w:jc w:val="both"/>
        <w:rPr>
          <w:rFonts w:cs="Arial"/>
          <w:lang w:eastAsia="ar-SA"/>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bookmarkStart w:id="0" w:name="_GoBack"/>
      <w:bookmarkEnd w:id="0"/>
      <w:r>
        <w:rPr>
          <w:rFonts w:cs="Arial" w:ascii="Times New Roman" w:hAnsi="Times New Roman"/>
          <w:sz w:val="26"/>
          <w:szCs w:val="26"/>
        </w:rPr>
        <w:t>1.1. Привести установленные градостроительным регламентом Правил виды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Росреестра от 10.11.2020 № П/0412.</w:t>
      </w:r>
    </w:p>
    <w:p>
      <w:pPr>
        <w:pStyle w:val="Normal"/>
        <w:rPr>
          <w:rFonts w:ascii="Times New Roman" w:hAnsi="Times New Roman"/>
          <w:sz w:val="26"/>
          <w:szCs w:val="26"/>
        </w:rPr>
      </w:pPr>
      <w:r>
        <w:rPr>
          <w:rFonts w:cs="Arial" w:ascii="Times New Roman" w:hAnsi="Times New Roman"/>
          <w:sz w:val="26"/>
          <w:szCs w:val="26"/>
        </w:rPr>
        <w:t>1.2.  В статье 36 «Порядок установления градостроительных регламентов» Правил:</w:t>
      </w:r>
    </w:p>
    <w:p>
      <w:pPr>
        <w:pStyle w:val="Normal"/>
        <w:rPr>
          <w:rFonts w:ascii="Times New Roman" w:hAnsi="Times New Roman" w:cs="Arial"/>
          <w:sz w:val="26"/>
          <w:szCs w:val="26"/>
        </w:rPr>
      </w:pPr>
      <w:r>
        <w:rPr>
          <w:rFonts w:cs="Arial" w:ascii="Times New Roman" w:hAnsi="Times New Roman"/>
          <w:sz w:val="26"/>
          <w:szCs w:val="26"/>
        </w:rPr>
        <w:t>1.2.1. Дополнить статью частью 9 следующего содержание:</w:t>
      </w:r>
    </w:p>
    <w:p>
      <w:pPr>
        <w:pStyle w:val="Normal"/>
        <w:rPr>
          <w:rFonts w:ascii="Times New Roman" w:hAnsi="Times New Roman"/>
          <w:sz w:val="26"/>
          <w:szCs w:val="26"/>
        </w:rPr>
      </w:pPr>
      <w:r>
        <w:rPr>
          <w:rFonts w:cs="Arial" w:ascii="Times New Roman" w:hAnsi="Times New Roman"/>
          <w:sz w:val="26"/>
          <w:szCs w:val="26"/>
        </w:rPr>
        <w:t>« 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уполномоченными федеральными органами исполнительной власти субьектов Российской Федерации или уполномоченными органами местного самоуправления в соответствии с федеральными законами.</w:t>
      </w:r>
      <w:r>
        <w:drawing>
          <wp:anchor behindDoc="0" distT="0" distB="0" distL="114935" distR="114935" simplePos="0" locked="0" layoutInCell="0" allowOverlap="1" relativeHeight="3">
            <wp:simplePos x="0" y="0"/>
            <wp:positionH relativeFrom="page">
              <wp:posOffset>708660</wp:posOffset>
            </wp:positionH>
            <wp:positionV relativeFrom="page">
              <wp:posOffset>8865235</wp:posOffset>
            </wp:positionV>
            <wp:extent cx="15240" cy="15240"/>
            <wp:effectExtent l="0" t="0" r="0" b="0"/>
            <wp:wrapSquare wrapText="bothSides"/>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rcRect l="-2830" t="-2830" r="-2830" b="-2830"/>
                    <a:stretch>
                      <a:fillRect/>
                    </a:stretch>
                  </pic:blipFill>
                  <pic:spPr bwMode="auto">
                    <a:xfrm>
                      <a:off x="0" y="0"/>
                      <a:ext cx="15240" cy="15240"/>
                    </a:xfrm>
                    <a:prstGeom prst="rect">
                      <a:avLst/>
                    </a:prstGeom>
                  </pic:spPr>
                </pic:pic>
              </a:graphicData>
            </a:graphic>
          </wp:anchor>
        </w:drawing>
      </w:r>
      <w:r>
        <w:rPr>
          <w:rFonts w:cs="Arial" w:ascii="Times New Roman" w:hAnsi="Times New Roman"/>
          <w:sz w:val="26"/>
          <w:szCs w:val="26"/>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pPr>
        <w:pStyle w:val="Normal"/>
        <w:ind w:right="57" w:hanging="0"/>
        <w:rPr>
          <w:rFonts w:ascii="Times New Roman" w:hAnsi="Times New Roman" w:cs="Arial"/>
          <w:sz w:val="26"/>
          <w:szCs w:val="26"/>
        </w:rPr>
      </w:pPr>
      <w:r>
        <w:rPr>
          <w:rFonts w:cs="Arial" w:ascii="Times New Roman" w:hAnsi="Times New Roman"/>
          <w:sz w:val="26"/>
          <w:szCs w:val="26"/>
        </w:rPr>
        <w:t>1.2.2. Дополнить частями 5.1, 5.2 следующего содержания:</w:t>
      </w:r>
    </w:p>
    <w:p>
      <w:pPr>
        <w:pStyle w:val="Normal"/>
        <w:ind w:right="57" w:hanging="0"/>
        <w:rPr>
          <w:rFonts w:ascii="Times New Roman" w:hAnsi="Times New Roman"/>
          <w:sz w:val="26"/>
          <w:szCs w:val="26"/>
        </w:rPr>
      </w:pPr>
      <w:r>
        <w:rPr>
          <w:rFonts w:cs="Arial" w:ascii="Times New Roman" w:hAnsi="Times New Roman"/>
          <w:sz w:val="26"/>
          <w:szCs w:val="26"/>
        </w:rPr>
        <w:t xml:space="preserve">5.1. Реконструкция указанных в части 5 настоящей статьи объектов капитального строительства может осуществляться только путем проведения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Изменения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pPr>
        <w:pStyle w:val="Normal"/>
        <w:ind w:right="57" w:hanging="0"/>
        <w:rPr>
          <w:rFonts w:ascii="Times New Roman" w:hAnsi="Times New Roman"/>
          <w:sz w:val="26"/>
          <w:szCs w:val="26"/>
        </w:rPr>
      </w:pPr>
      <w:r>
        <w:rPr>
          <w:rFonts w:cs="Arial" w:ascii="Times New Roman" w:hAnsi="Times New Roman"/>
          <w:sz w:val="26"/>
          <w:szCs w:val="26"/>
        </w:rPr>
        <w:t>5.2. В случае,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ind w:right="57" w:hanging="0"/>
        <w:rPr>
          <w:rFonts w:ascii="Times New Roman" w:hAnsi="Times New Roman"/>
          <w:sz w:val="26"/>
          <w:szCs w:val="26"/>
        </w:rPr>
      </w:pPr>
      <w:r>
        <w:rPr>
          <w:rFonts w:cs="Arial" w:ascii="Times New Roman" w:hAnsi="Times New Roman"/>
          <w:sz w:val="26"/>
          <w:szCs w:val="26"/>
        </w:rPr>
        <w:t xml:space="preserve">1.3 В статье 37 «Состав градостроительных регламентов» Правил слова «- иные показатели. Применительно к каждой территориальной зоне могут устанавливаться указанные в настоящей статье размеры и параметры, их сочетания.» исключить. </w:t>
      </w:r>
    </w:p>
    <w:p>
      <w:pPr>
        <w:pStyle w:val="Normal"/>
        <w:ind w:right="57" w:hanging="0"/>
        <w:rPr>
          <w:rFonts w:ascii="Times New Roman" w:hAnsi="Times New Roman"/>
          <w:sz w:val="26"/>
          <w:szCs w:val="26"/>
        </w:rPr>
      </w:pPr>
      <w:r>
        <w:rPr>
          <w:rFonts w:cs="Arial" w:ascii="Times New Roman" w:hAnsi="Times New Roman"/>
          <w:sz w:val="26"/>
          <w:szCs w:val="26"/>
        </w:rPr>
        <w:t>1.4. В статье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Правил дополнить частями 2-5 следующего содержания:</w:t>
      </w:r>
    </w:p>
    <w:p>
      <w:pPr>
        <w:pStyle w:val="Normal"/>
        <w:ind w:right="57" w:hanging="0"/>
        <w:rPr>
          <w:rFonts w:ascii="Times New Roman" w:hAnsi="Times New Roman"/>
          <w:sz w:val="26"/>
          <w:szCs w:val="26"/>
        </w:rPr>
      </w:pPr>
      <w:r>
        <w:rPr>
          <w:rFonts w:cs="Arial" w:ascii="Times New Roman" w:hAnsi="Times New Roman"/>
          <w:sz w:val="26"/>
          <w:szCs w:val="26"/>
        </w:rPr>
        <w:t>« 2. В случае, если в градостроительном  регламенте применительно к определенной территориальной зоне не устанавливаются предельные ( минимальные и ( или) максимальные) размеры земельных участков, в том числе  их  площадь, и (или) предусмотренные пунктами 2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подлежит установлению.</w:t>
      </w:r>
    </w:p>
    <w:p>
      <w:pPr>
        <w:pStyle w:val="Normal"/>
        <w:ind w:right="57" w:hanging="0"/>
        <w:rPr>
          <w:rFonts w:ascii="Times New Roman" w:hAnsi="Times New Roman"/>
          <w:sz w:val="26"/>
          <w:szCs w:val="26"/>
        </w:rPr>
      </w:pPr>
      <w:r>
        <w:rPr>
          <w:rFonts w:cs="Arial" w:ascii="Times New Roman" w:hAnsi="Times New Roman"/>
          <w:sz w:val="26"/>
          <w:szCs w:val="26"/>
        </w:rPr>
        <w:t>3. Наряду с указанными в пунктах 2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Normal"/>
        <w:ind w:right="57" w:hanging="0"/>
        <w:rPr>
          <w:rFonts w:ascii="Times New Roman" w:hAnsi="Times New Roman"/>
          <w:sz w:val="26"/>
          <w:szCs w:val="26"/>
        </w:rPr>
      </w:pPr>
      <w:r>
        <w:rPr>
          <w:rFonts w:cs="Arial" w:ascii="Times New Roman" w:hAnsi="Times New Roman"/>
          <w:sz w:val="26"/>
          <w:szCs w:val="26"/>
        </w:rPr>
        <w:t>4. Применительно к каждой территориальной зоне устанавливается указанные в пункте 2 части 1 настоящей статьи размеры и параметры, их сочетания.</w:t>
      </w:r>
    </w:p>
    <w:p>
      <w:pPr>
        <w:pStyle w:val="Normal"/>
        <w:ind w:right="57" w:hanging="0"/>
        <w:rPr>
          <w:rFonts w:ascii="Times New Roman" w:hAnsi="Times New Roman"/>
          <w:sz w:val="26"/>
          <w:szCs w:val="26"/>
        </w:rPr>
      </w:pPr>
      <w:r>
        <w:rPr>
          <w:rFonts w:cs="Arial" w:ascii="Times New Roman" w:hAnsi="Times New Roman"/>
          <w:sz w:val="26"/>
          <w:szCs w:val="26"/>
        </w:rPr>
        <w:t>4.1.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объёмно- пространственным, архитектурно- 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Normal"/>
        <w:ind w:right="57" w:hanging="0"/>
        <w:rPr>
          <w:rFonts w:ascii="Times New Roman" w:hAnsi="Times New Roman" w:cs="Arial"/>
          <w:sz w:val="26"/>
          <w:szCs w:val="26"/>
        </w:rPr>
      </w:pPr>
      <w:r>
        <w:rPr>
          <w:rFonts w:cs="Arial" w:ascii="Times New Roman" w:hAnsi="Times New Roman"/>
          <w:sz w:val="26"/>
          <w:szCs w:val="26"/>
        </w:rPr>
        <w:t>5. В пределах территориальных зон могут устанавливаться под зоны с одинаковыми  видами разрешенного  использования земельных участков и объектов капитального строительства, но с различными предельными (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ind w:right="57" w:hanging="0"/>
        <w:rPr>
          <w:rFonts w:ascii="Times New Roman" w:hAnsi="Times New Roman" w:cs="Arial"/>
          <w:sz w:val="26"/>
          <w:szCs w:val="26"/>
        </w:rPr>
      </w:pPr>
      <w:r>
        <w:rPr>
          <w:rFonts w:cs="Arial" w:ascii="Times New Roman" w:hAnsi="Times New Roman"/>
          <w:sz w:val="26"/>
          <w:szCs w:val="26"/>
        </w:rPr>
        <w:t>1.5. В статье 39 «Градостроительные регламенты для жилых зон» Правил:</w:t>
      </w:r>
    </w:p>
    <w:p>
      <w:pPr>
        <w:pStyle w:val="Normal"/>
        <w:ind w:right="57" w:hanging="0"/>
        <w:rPr>
          <w:rFonts w:ascii="Times New Roman" w:hAnsi="Times New Roman"/>
          <w:sz w:val="26"/>
          <w:szCs w:val="26"/>
        </w:rPr>
      </w:pPr>
      <w:r>
        <w:rPr>
          <w:rFonts w:cs="Arial" w:ascii="Times New Roman" w:hAnsi="Times New Roman"/>
          <w:sz w:val="26"/>
          <w:szCs w:val="26"/>
        </w:rPr>
        <w:t>1.5.1. Дополнить пункт «Условно разрешенные виды разрешенного использования» таблицы «Виды разрешенного использования земельных участков и объектов капитального строительства» территориальной зоны Ж-1 «Зона застройки индивидуальными жилыми домами», Ж-2 «Зона застройки малоэтажными жилыми домами» видом разрешенного использования, следующего содержания:</w:t>
      </w:r>
    </w:p>
    <w:p>
      <w:pPr>
        <w:pStyle w:val="Normal"/>
        <w:ind w:right="57" w:hanging="0"/>
        <w:rPr>
          <w:rFonts w:ascii="Times New Roman" w:hAnsi="Times New Roman"/>
          <w:sz w:val="26"/>
          <w:szCs w:val="26"/>
        </w:rPr>
      </w:pPr>
      <w:r>
        <w:rPr>
          <w:rFonts w:cs="Arial" w:ascii="Times New Roman" w:hAnsi="Times New Roman"/>
          <w:sz w:val="26"/>
          <w:szCs w:val="26"/>
        </w:rPr>
        <w:t>«</w:t>
      </w:r>
    </w:p>
    <w:tbl>
      <w:tblPr>
        <w:tblW w:w="9345" w:type="dxa"/>
        <w:jc w:val="left"/>
        <w:tblInd w:w="488" w:type="dxa"/>
        <w:tblLayout w:type="fixed"/>
        <w:tblCellMar>
          <w:top w:w="50" w:type="dxa"/>
          <w:left w:w="104" w:type="dxa"/>
          <w:bottom w:w="0" w:type="dxa"/>
          <w:right w:w="0" w:type="dxa"/>
        </w:tblCellMar>
      </w:tblPr>
      <w:tblGrid>
        <w:gridCol w:w="2815"/>
        <w:gridCol w:w="4680"/>
        <w:gridCol w:w="1850"/>
      </w:tblGrid>
      <w:tr>
        <w:trPr>
          <w:trHeight w:val="1440" w:hRule="atLeast"/>
        </w:trPr>
        <w:tc>
          <w:tcPr>
            <w:tcW w:w="2815" w:type="dxa"/>
            <w:tcBorders>
              <w:top w:val="single" w:sz="2" w:space="0" w:color="000000"/>
              <w:left w:val="single" w:sz="2" w:space="0" w:color="000000"/>
              <w:bottom w:val="single" w:sz="2" w:space="0" w:color="000000"/>
            </w:tcBorders>
          </w:tcPr>
          <w:p>
            <w:pPr>
              <w:pStyle w:val="Normal"/>
              <w:spacing w:lineRule="auto" w:line="252" w:before="0" w:after="200"/>
              <w:ind w:left="7" w:right="98" w:hanging="0"/>
              <w:rPr>
                <w:rFonts w:ascii="Times New Roman" w:hAnsi="Times New Roman" w:cs="Arial"/>
                <w:sz w:val="26"/>
                <w:szCs w:val="26"/>
              </w:rPr>
            </w:pPr>
            <w:r>
              <w:rPr>
                <w:rFonts w:cs="Arial" w:ascii="Times New Roman" w:hAnsi="Times New Roman"/>
                <w:sz w:val="26"/>
                <w:szCs w:val="26"/>
              </w:rPr>
              <w:t>Размещение гаражей для собственных нужд</w:t>
            </w:r>
          </w:p>
        </w:tc>
        <w:tc>
          <w:tcPr>
            <w:tcW w:w="4680" w:type="dxa"/>
            <w:tcBorders>
              <w:top w:val="single" w:sz="2" w:space="0" w:color="000000"/>
              <w:left w:val="single" w:sz="2" w:space="0" w:color="000000"/>
              <w:bottom w:val="single" w:sz="2" w:space="0" w:color="000000"/>
            </w:tcBorders>
          </w:tcPr>
          <w:p>
            <w:pPr>
              <w:pStyle w:val="Normal"/>
              <w:spacing w:lineRule="auto" w:line="252" w:before="0" w:after="200"/>
              <w:ind w:right="105" w:hanging="0"/>
              <w:rPr>
                <w:rFonts w:ascii="Times New Roman" w:hAnsi="Times New Roman" w:cs="Arial"/>
                <w:sz w:val="26"/>
                <w:szCs w:val="26"/>
              </w:rPr>
            </w:pPr>
            <w:r>
              <w:rPr>
                <w:rFonts w:cs="Arial" w:ascii="Times New Roman" w:hAnsi="Times New Roman"/>
                <w:sz w:val="26"/>
                <w:szCs w:val="2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50" w:type="dxa"/>
            <w:tcBorders>
              <w:top w:val="single" w:sz="2" w:space="0" w:color="000000"/>
              <w:left w:val="single" w:sz="2" w:space="0" w:color="000000"/>
              <w:bottom w:val="single" w:sz="2" w:space="0" w:color="000000"/>
              <w:right w:val="single" w:sz="2" w:space="0" w:color="000000"/>
            </w:tcBorders>
          </w:tcPr>
          <w:p>
            <w:pPr>
              <w:pStyle w:val="Normal"/>
              <w:spacing w:lineRule="auto" w:line="252" w:before="0" w:after="200"/>
              <w:ind w:left="180" w:hanging="0"/>
              <w:rPr>
                <w:rFonts w:ascii="Times New Roman" w:hAnsi="Times New Roman" w:cs="Arial"/>
                <w:sz w:val="26"/>
                <w:szCs w:val="26"/>
              </w:rPr>
            </w:pPr>
            <w:r>
              <w:rPr>
                <w:rFonts w:cs="Arial" w:ascii="Times New Roman" w:hAnsi="Times New Roman"/>
                <w:sz w:val="26"/>
                <w:szCs w:val="26"/>
              </w:rPr>
              <w:t>2.7.2</w:t>
            </w:r>
          </w:p>
        </w:tc>
      </w:tr>
    </w:tbl>
    <w:p>
      <w:pPr>
        <w:pStyle w:val="Normal"/>
        <w:ind w:right="57" w:hanging="0"/>
        <w:rPr>
          <w:rFonts w:ascii="Times New Roman" w:hAnsi="Times New Roman" w:cs="Arial"/>
          <w:sz w:val="26"/>
          <w:szCs w:val="26"/>
        </w:rPr>
      </w:pPr>
      <w:r>
        <w:rPr>
          <w:rFonts w:cs="Arial" w:ascii="Times New Roman" w:hAnsi="Times New Roman"/>
          <w:sz w:val="26"/>
          <w:szCs w:val="26"/>
        </w:rPr>
        <w:t>»</w:t>
      </w:r>
    </w:p>
    <w:p>
      <w:pPr>
        <w:pStyle w:val="Normal"/>
        <w:ind w:right="57" w:hanging="0"/>
        <w:rPr>
          <w:rFonts w:ascii="Times New Roman" w:hAnsi="Times New Roman"/>
          <w:sz w:val="26"/>
          <w:szCs w:val="26"/>
        </w:rPr>
      </w:pPr>
      <w:r>
        <w:rPr>
          <w:rFonts w:eastAsia="Arial" w:cs="Arial" w:ascii="Times New Roman" w:hAnsi="Times New Roman"/>
          <w:sz w:val="26"/>
          <w:szCs w:val="26"/>
        </w:rPr>
        <w:t xml:space="preserve">    </w:t>
      </w:r>
      <w:r>
        <w:rPr>
          <w:rFonts w:cs="Arial" w:ascii="Times New Roman" w:hAnsi="Times New Roman"/>
          <w:sz w:val="26"/>
          <w:szCs w:val="26"/>
        </w:rPr>
        <w:t>1.5.2. В таблице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территориальной зоны Ж-1 «Зона застройки индивидуальными жилыми домами» в строке 5 «Иные предельные параметры разрешенного строительства, реконструкции объектов капитального строительства» слова «1) магазин общей площадью не более 150 кв. м» исключить;</w:t>
      </w:r>
    </w:p>
    <w:p>
      <w:pPr>
        <w:pStyle w:val="Normal"/>
        <w:ind w:left="135" w:right="57" w:hanging="0"/>
        <w:rPr>
          <w:rFonts w:ascii="Times New Roman" w:hAnsi="Times New Roman"/>
          <w:sz w:val="26"/>
          <w:szCs w:val="26"/>
        </w:rPr>
      </w:pPr>
      <w:r>
        <w:rPr>
          <w:rFonts w:eastAsia="Arial" w:cs="Arial" w:ascii="Times New Roman" w:hAnsi="Times New Roman"/>
          <w:sz w:val="26"/>
          <w:szCs w:val="26"/>
        </w:rPr>
        <w:t xml:space="preserve">   </w:t>
      </w:r>
      <w:r>
        <w:rPr>
          <w:rFonts w:cs="Arial" w:ascii="Times New Roman" w:hAnsi="Times New Roman"/>
          <w:sz w:val="26"/>
          <w:szCs w:val="26"/>
        </w:rPr>
        <w:t>1.5.3. В таблице «Предельные (минимальные и (или) максимальные) размеры земельных участков в предельные параметры разрешенного строительства, реконструкции объектов капитального строительства» территориальной зоны Ж-2 «Зона застройки малоэтажными жилыми домами» в строке 5 «Условия размещения и (или) максимальные размеры (площадь) отдельных объектов» слова «Магазин не более 200 кв. м. торговой площади» исключить;</w:t>
      </w:r>
    </w:p>
    <w:p>
      <w:pPr>
        <w:pStyle w:val="Normal"/>
        <w:ind w:left="129" w:right="57" w:hanging="0"/>
        <w:rPr>
          <w:rFonts w:ascii="Times New Roman" w:hAnsi="Times New Roman"/>
          <w:sz w:val="26"/>
          <w:szCs w:val="26"/>
        </w:rPr>
      </w:pPr>
      <w:r>
        <w:rPr>
          <w:rFonts w:eastAsia="Arial" w:cs="Arial" w:ascii="Times New Roman" w:hAnsi="Times New Roman"/>
          <w:sz w:val="26"/>
          <w:szCs w:val="26"/>
        </w:rPr>
        <w:t xml:space="preserve">   </w:t>
      </w:r>
      <w:r>
        <w:rPr>
          <w:rFonts w:cs="Arial" w:ascii="Times New Roman" w:hAnsi="Times New Roman"/>
          <w:sz w:val="26"/>
          <w:szCs w:val="26"/>
        </w:rPr>
        <w:t>1.5.4.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территориальных зон Ж-1 « Зона застройки индивидуальными жилыми домами», Ж-2 «Зона застройки малоэтажными жилыми домами» наименование строки 5 заменить на слова «Иные предельные параметры разрешённого строительства, реконструкции объектов капитального строительства».</w:t>
      </w:r>
    </w:p>
    <w:p>
      <w:pPr>
        <w:pStyle w:val="Normal"/>
        <w:ind w:right="57" w:hanging="0"/>
        <w:rPr>
          <w:rFonts w:ascii="Times New Roman" w:hAnsi="Times New Roman"/>
          <w:sz w:val="26"/>
          <w:szCs w:val="26"/>
        </w:rPr>
      </w:pPr>
      <w:r>
        <w:rPr>
          <w:rFonts w:eastAsia="Arial" w:cs="Arial" w:ascii="Times New Roman" w:hAnsi="Times New Roman"/>
          <w:sz w:val="26"/>
          <w:szCs w:val="26"/>
        </w:rPr>
        <w:t xml:space="preserve">      </w:t>
      </w:r>
      <w:r>
        <w:rPr>
          <w:rFonts w:cs="Arial" w:ascii="Times New Roman" w:hAnsi="Times New Roman"/>
          <w:sz w:val="26"/>
          <w:szCs w:val="26"/>
        </w:rPr>
        <w:t>1.6. В статье 40 «Градостроительные регламенты для общественно-деловых зон» Правил:</w:t>
      </w:r>
    </w:p>
    <w:p>
      <w:pPr>
        <w:pStyle w:val="Normal"/>
        <w:ind w:left="129" w:right="57" w:hanging="0"/>
        <w:rPr>
          <w:rFonts w:ascii="Times New Roman" w:hAnsi="Times New Roman"/>
          <w:sz w:val="26"/>
          <w:szCs w:val="26"/>
        </w:rPr>
      </w:pPr>
      <w:r>
        <w:rPr>
          <w:rFonts w:eastAsia="Arial" w:cs="Arial" w:ascii="Times New Roman" w:hAnsi="Times New Roman"/>
          <w:sz w:val="26"/>
          <w:szCs w:val="26"/>
        </w:rPr>
        <w:t xml:space="preserve">    </w:t>
      </w:r>
      <w:r>
        <w:rPr>
          <w:rFonts w:cs="Arial" w:ascii="Times New Roman" w:hAnsi="Times New Roman"/>
          <w:sz w:val="26"/>
          <w:szCs w:val="26"/>
        </w:rPr>
        <w:t>1.6.1.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0-1 «Зона объектов административно-делового назначения» О-3 «Зона объектов  культурного назначения  назначения» в строке 5 «Условия размещения и (или) максимальные размеры (площадь) отдельных объектов» слова «Магазин общей площадью не более 1000 кв.м.» исключить;</w:t>
      </w:r>
    </w:p>
    <w:p>
      <w:pPr>
        <w:pStyle w:val="Normal"/>
        <w:ind w:left="129" w:right="57" w:hanging="0"/>
        <w:rPr>
          <w:rFonts w:ascii="Times New Roman" w:hAnsi="Times New Roman" w:cs="Arial"/>
          <w:sz w:val="26"/>
          <w:szCs w:val="26"/>
        </w:rPr>
      </w:pPr>
      <w:r>
        <w:rPr>
          <w:rFonts w:cs="Arial" w:ascii="Times New Roman" w:hAnsi="Times New Roman"/>
          <w:sz w:val="26"/>
          <w:szCs w:val="26"/>
        </w:rPr>
        <w:t>1.6.2.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О-1 «Зона объектов административно-делового назначения» наименование строки 5 заменить на слова « Иные предельные параметры разрешенного строительства, реконструкции объектов капитального строительства»</w:t>
      </w:r>
    </w:p>
    <w:p>
      <w:pPr>
        <w:pStyle w:val="Normal"/>
        <w:ind w:right="57" w:hanging="0"/>
        <w:jc w:val="both"/>
        <w:rPr>
          <w:rFonts w:ascii="Times New Roman" w:hAnsi="Times New Roman"/>
          <w:sz w:val="26"/>
          <w:szCs w:val="26"/>
        </w:rPr>
      </w:pPr>
      <w:r>
        <w:rPr>
          <w:rFonts w:cs="Arial" w:ascii="Times New Roman" w:hAnsi="Times New Roman"/>
          <w:sz w:val="26"/>
          <w:szCs w:val="26"/>
        </w:rPr>
        <w:t>1.7 .В статье 41 «Градостроительные регламенты производственных, коммунально -складских зон, зон объектов инженерной инфраструктуры и объектов специального назначении» Правил дополнить часть «Основные виды разрешенного использования» таблиц «Виды разрешенного использования земельных участков и объектов капитального строительства» территориальных зон П-4 «Зона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4 класса опасности», П-5 «Зона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5 класса опасности» видами разрешенного использования, следующего содержания:</w:t>
      </w:r>
    </w:p>
    <w:p>
      <w:pPr>
        <w:pStyle w:val="Normal"/>
        <w:ind w:left="129" w:right="57" w:firstLine="710"/>
        <w:rPr>
          <w:rFonts w:ascii="Times New Roman" w:hAnsi="Times New Roman"/>
          <w:sz w:val="26"/>
          <w:szCs w:val="26"/>
        </w:rPr>
      </w:pPr>
      <w:r>
        <w:rPr>
          <w:rFonts w:ascii="Times New Roman" w:hAnsi="Times New Roman"/>
          <w:sz w:val="26"/>
          <w:szCs w:val="26"/>
        </w:rPr>
      </w:r>
    </w:p>
    <w:p>
      <w:pPr>
        <w:pStyle w:val="Normal"/>
        <w:ind w:right="57" w:hanging="0"/>
        <w:rPr>
          <w:rFonts w:ascii="Times New Roman" w:hAnsi="Times New Roman"/>
          <w:sz w:val="26"/>
          <w:szCs w:val="26"/>
        </w:rPr>
      </w:pPr>
      <w:r>
        <w:rPr>
          <w:rFonts w:eastAsia="Arial" w:cs="Arial" w:ascii="Times New Roman" w:hAnsi="Times New Roman"/>
          <w:sz w:val="26"/>
          <w:szCs w:val="26"/>
        </w:rPr>
        <w:t xml:space="preserve">       </w:t>
      </w:r>
      <w:r>
        <w:rPr>
          <w:rFonts w:eastAsia="Arial" w:cs="Arial" w:ascii="Times New Roman" w:hAnsi="Times New Roman"/>
          <w:sz w:val="26"/>
          <w:szCs w:val="26"/>
        </w:rPr>
        <w:t>«</w:t>
      </w:r>
    </w:p>
    <w:tbl>
      <w:tblPr>
        <w:tblW w:w="9855" w:type="dxa"/>
        <w:jc w:val="left"/>
        <w:tblInd w:w="0" w:type="dxa"/>
        <w:tblLayout w:type="fixed"/>
        <w:tblCellMar>
          <w:top w:w="0" w:type="dxa"/>
          <w:left w:w="108" w:type="dxa"/>
          <w:bottom w:w="0" w:type="dxa"/>
          <w:right w:w="108" w:type="dxa"/>
        </w:tblCellMar>
      </w:tblPr>
      <w:tblGrid>
        <w:gridCol w:w="3285"/>
        <w:gridCol w:w="3285"/>
        <w:gridCol w:w="3285"/>
      </w:tblGrid>
      <w:tr>
        <w:trPr/>
        <w:tc>
          <w:tcPr>
            <w:tcW w:w="3285" w:type="dxa"/>
            <w:tcBorders>
              <w:top w:val="single" w:sz="4" w:space="0" w:color="000000"/>
              <w:left w:val="single" w:sz="4" w:space="0" w:color="000000"/>
              <w:bottom w:val="single" w:sz="4" w:space="0" w:color="000000"/>
              <w:right w:val="single" w:sz="4" w:space="0" w:color="000000"/>
            </w:tcBorders>
          </w:tcPr>
          <w:p>
            <w:pPr>
              <w:pStyle w:val="Normal"/>
              <w:spacing w:before="0" w:after="200"/>
              <w:ind w:right="57" w:hanging="0"/>
              <w:rPr>
                <w:rFonts w:ascii="Times New Roman" w:hAnsi="Times New Roman"/>
                <w:sz w:val="22"/>
                <w:szCs w:val="22"/>
              </w:rPr>
            </w:pPr>
            <w:r>
              <w:rPr>
                <w:rFonts w:ascii="Times New Roman" w:hAnsi="Times New Roman"/>
                <w:sz w:val="22"/>
                <w:szCs w:val="22"/>
              </w:rPr>
              <w:t>Хранение автотранспорта</w:t>
            </w:r>
          </w:p>
        </w:tc>
        <w:tc>
          <w:tcPr>
            <w:tcW w:w="3285" w:type="dxa"/>
            <w:tcBorders>
              <w:top w:val="single" w:sz="4" w:space="0" w:color="000000"/>
              <w:left w:val="single" w:sz="4" w:space="0" w:color="000000"/>
              <w:bottom w:val="single" w:sz="4" w:space="0" w:color="000000"/>
              <w:right w:val="single" w:sz="4" w:space="0" w:color="000000"/>
            </w:tcBorders>
          </w:tcPr>
          <w:p>
            <w:pPr>
              <w:pStyle w:val="Normal"/>
              <w:spacing w:before="0" w:after="200"/>
              <w:ind w:right="57" w:hanging="0"/>
              <w:rPr>
                <w:rFonts w:ascii="Times New Roman" w:hAnsi="Times New Roman"/>
                <w:sz w:val="22"/>
                <w:szCs w:val="22"/>
              </w:rPr>
            </w:pPr>
            <w:r>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2.7.2,4.9</w:t>
            </w:r>
          </w:p>
        </w:tc>
        <w:tc>
          <w:tcPr>
            <w:tcW w:w="3285" w:type="dxa"/>
            <w:tcBorders>
              <w:top w:val="single" w:sz="4" w:space="0" w:color="000000"/>
              <w:left w:val="single" w:sz="4" w:space="0" w:color="000000"/>
              <w:bottom w:val="single" w:sz="4" w:space="0" w:color="000000"/>
              <w:right w:val="single" w:sz="4" w:space="0" w:color="000000"/>
            </w:tcBorders>
          </w:tcPr>
          <w:p>
            <w:pPr>
              <w:pStyle w:val="Normal"/>
              <w:spacing w:before="0" w:after="200"/>
              <w:ind w:right="57" w:hanging="0"/>
              <w:rPr>
                <w:rFonts w:ascii="Times New Roman" w:hAnsi="Times New Roman"/>
                <w:sz w:val="22"/>
                <w:szCs w:val="22"/>
              </w:rPr>
            </w:pPr>
            <w:r>
              <w:rPr>
                <w:rFonts w:ascii="Times New Roman" w:hAnsi="Times New Roman"/>
                <w:sz w:val="22"/>
                <w:szCs w:val="22"/>
              </w:rPr>
              <w:t>2.7.1</w:t>
            </w:r>
          </w:p>
        </w:tc>
      </w:tr>
      <w:tr>
        <w:trPr/>
        <w:tc>
          <w:tcPr>
            <w:tcW w:w="3285" w:type="dxa"/>
            <w:tcBorders>
              <w:top w:val="single" w:sz="4" w:space="0" w:color="000000"/>
              <w:left w:val="single" w:sz="4" w:space="0" w:color="000000"/>
              <w:bottom w:val="single" w:sz="4" w:space="0" w:color="000000"/>
              <w:right w:val="single" w:sz="4" w:space="0" w:color="000000"/>
            </w:tcBorders>
          </w:tcPr>
          <w:p>
            <w:pPr>
              <w:pStyle w:val="Normal"/>
              <w:spacing w:before="0" w:after="200"/>
              <w:ind w:right="57" w:hanging="0"/>
              <w:rPr>
                <w:rFonts w:ascii="Times New Roman" w:hAnsi="Times New Roman"/>
                <w:sz w:val="22"/>
                <w:szCs w:val="22"/>
              </w:rPr>
            </w:pPr>
            <w:r>
              <w:rPr>
                <w:rFonts w:ascii="Times New Roman" w:hAnsi="Times New Roman"/>
                <w:sz w:val="22"/>
                <w:szCs w:val="22"/>
              </w:rPr>
              <w:t xml:space="preserve">Размещение гаражей для собственных нужд </w:t>
            </w:r>
          </w:p>
        </w:tc>
        <w:tc>
          <w:tcPr>
            <w:tcW w:w="3285" w:type="dxa"/>
            <w:tcBorders>
              <w:top w:val="single" w:sz="4" w:space="0" w:color="000000"/>
              <w:left w:val="single" w:sz="4" w:space="0" w:color="000000"/>
              <w:bottom w:val="single" w:sz="4" w:space="0" w:color="000000"/>
              <w:right w:val="single" w:sz="4" w:space="0" w:color="000000"/>
            </w:tcBorders>
          </w:tcPr>
          <w:p>
            <w:pPr>
              <w:pStyle w:val="Normal"/>
              <w:spacing w:before="0" w:after="200"/>
              <w:ind w:right="57" w:hanging="0"/>
              <w:rPr>
                <w:rFonts w:ascii="Times New Roman" w:hAnsi="Times New Roman"/>
                <w:sz w:val="22"/>
                <w:szCs w:val="22"/>
              </w:rPr>
            </w:pPr>
            <w:r>
              <w:rPr>
                <w:rFonts w:ascii="Times New Roman" w:hAnsi="Times New Roman"/>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285" w:type="dxa"/>
            <w:tcBorders>
              <w:top w:val="single" w:sz="4" w:space="0" w:color="000000"/>
              <w:left w:val="single" w:sz="4" w:space="0" w:color="000000"/>
              <w:bottom w:val="single" w:sz="4" w:space="0" w:color="000000"/>
              <w:right w:val="single" w:sz="4" w:space="0" w:color="000000"/>
            </w:tcBorders>
          </w:tcPr>
          <w:p>
            <w:pPr>
              <w:pStyle w:val="Normal"/>
              <w:spacing w:before="0" w:after="200"/>
              <w:ind w:right="57" w:hanging="0"/>
              <w:rPr>
                <w:rFonts w:ascii="Times New Roman" w:hAnsi="Times New Roman"/>
                <w:sz w:val="22"/>
                <w:szCs w:val="22"/>
              </w:rPr>
            </w:pPr>
            <w:r>
              <w:rPr>
                <w:rFonts w:ascii="Times New Roman" w:hAnsi="Times New Roman"/>
                <w:sz w:val="22"/>
                <w:szCs w:val="22"/>
              </w:rPr>
              <w:t>2.7.2</w:t>
            </w:r>
          </w:p>
        </w:tc>
      </w:tr>
    </w:tbl>
    <w:p>
      <w:pPr>
        <w:pStyle w:val="Normal"/>
        <w:ind w:left="15" w:right="57" w:firstLine="615"/>
        <w:rPr>
          <w:rFonts w:ascii="Times New Roman" w:hAnsi="Times New Roman" w:cs="Arial"/>
          <w:sz w:val="26"/>
          <w:szCs w:val="26"/>
        </w:rPr>
      </w:pPr>
      <w:r>
        <w:rPr>
          <w:rFonts w:cs="Arial" w:ascii="Times New Roman" w:hAnsi="Times New Roman"/>
          <w:sz w:val="26"/>
          <w:szCs w:val="26"/>
        </w:rPr>
        <w:t>».</w:t>
      </w:r>
    </w:p>
    <w:p>
      <w:pPr>
        <w:pStyle w:val="Normal"/>
        <w:spacing w:lineRule="auto" w:line="240" w:before="0" w:after="0"/>
        <w:ind w:left="15" w:right="57" w:firstLine="615"/>
        <w:jc w:val="both"/>
        <w:rPr>
          <w:rFonts w:ascii="Times New Roman" w:hAnsi="Times New Roman"/>
          <w:sz w:val="26"/>
          <w:szCs w:val="26"/>
        </w:rPr>
      </w:pPr>
      <w:r>
        <w:rPr>
          <w:rFonts w:cs="Arial" w:ascii="Times New Roman" w:hAnsi="Times New Roman"/>
          <w:sz w:val="26"/>
          <w:szCs w:val="26"/>
        </w:rPr>
        <w:t xml:space="preserve">1.8. В статье 42 «Градостроительные регламенты для зоны специального назначения» Правил в таблице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территориальной зоны СП-1 – «Зона кладбищ» строку 5 «Иные показатели» исключить. </w:t>
      </w:r>
    </w:p>
    <w:p>
      <w:pPr>
        <w:pStyle w:val="Normal"/>
        <w:spacing w:lineRule="auto" w:line="240" w:before="0" w:after="0"/>
        <w:jc w:val="both"/>
        <w:rPr>
          <w:rFonts w:ascii="Times New Roman" w:hAnsi="Times New Roman" w:cs="Arial"/>
          <w:sz w:val="26"/>
          <w:szCs w:val="26"/>
        </w:rPr>
      </w:pPr>
      <w:r>
        <w:rPr>
          <w:rFonts w:cs="Arial" w:ascii="Times New Roman" w:hAnsi="Times New Roman"/>
          <w:sz w:val="26"/>
          <w:szCs w:val="26"/>
        </w:rPr>
      </w:r>
    </w:p>
    <w:p>
      <w:pPr>
        <w:pStyle w:val="Normal"/>
        <w:spacing w:lineRule="auto" w:line="240" w:before="0" w:after="0"/>
        <w:jc w:val="both"/>
        <w:rPr>
          <w:rFonts w:ascii="Times New Roman" w:hAnsi="Times New Roman"/>
          <w:sz w:val="26"/>
          <w:szCs w:val="26"/>
        </w:rPr>
      </w:pPr>
      <w:r>
        <w:rPr>
          <w:rFonts w:cs="Arial" w:ascii="Times New Roman" w:hAnsi="Times New Roman"/>
          <w:sz w:val="26"/>
          <w:szCs w:val="26"/>
        </w:rPr>
        <w:t>1.</w:t>
      </w:r>
      <w:r>
        <w:rPr>
          <w:rFonts w:cs="Arial" w:ascii="Times New Roman" w:hAnsi="Times New Roman"/>
          <w:sz w:val="26"/>
          <w:szCs w:val="26"/>
        </w:rPr>
        <w:t>9</w:t>
      </w:r>
      <w:r>
        <w:rPr>
          <w:rFonts w:cs="Arial" w:ascii="Times New Roman" w:hAnsi="Times New Roman"/>
          <w:sz w:val="26"/>
          <w:szCs w:val="26"/>
        </w:rPr>
        <w:t>. Исключить из Правил приложение 1 «Классификатор видов разрешенного использования земельных участков, утвержденный Приказом Министерства экономического развития Российской Федерации № 540 от 01.09.2014 года (в ред. Приказов Минэкономразвития России от 30.09.2015 N 709, от 06.10.2017 N 547, от 09.08.20 18 N 418, от 04.02.2019 N 44)».</w:t>
      </w:r>
    </w:p>
    <w:p>
      <w:pPr>
        <w:pStyle w:val="Normal"/>
        <w:spacing w:lineRule="auto" w:line="240" w:before="0" w:after="0"/>
        <w:ind w:firstLine="540"/>
        <w:jc w:val="both"/>
        <w:rPr>
          <w:rFonts w:ascii="Times New Roman" w:hAnsi="Times New Roman" w:cs="Arial"/>
          <w:color w:val="000000"/>
          <w:sz w:val="26"/>
          <w:szCs w:val="26"/>
        </w:rPr>
      </w:pPr>
      <w:r>
        <w:rPr>
          <w:rFonts w:cs="Arial" w:ascii="Times New Roman" w:hAnsi="Times New Roman"/>
          <w:color w:val="000000"/>
          <w:sz w:val="26"/>
          <w:szCs w:val="26"/>
        </w:rPr>
      </w:r>
    </w:p>
    <w:p>
      <w:pPr>
        <w:pStyle w:val="Normal"/>
        <w:spacing w:lineRule="auto" w:line="240" w:before="0" w:after="0"/>
        <w:ind w:hanging="0"/>
        <w:jc w:val="both"/>
        <w:rPr>
          <w:rFonts w:ascii="Times New Roman" w:hAnsi="Times New Roman"/>
          <w:sz w:val="26"/>
          <w:szCs w:val="26"/>
        </w:rPr>
      </w:pPr>
      <w:r>
        <w:rPr>
          <w:rFonts w:cs="Arial" w:ascii="Times New Roman" w:hAnsi="Times New Roman"/>
          <w:color w:val="000000"/>
          <w:sz w:val="26"/>
          <w:szCs w:val="26"/>
        </w:rPr>
        <w:t xml:space="preserve">2. Настоящее решение подлежит официальному обнародованию на информационных щитах сельского поселения и размещению на официальном сайте </w:t>
      </w:r>
      <w:r>
        <w:rPr>
          <w:rFonts w:cs="Arial" w:ascii="Times New Roman" w:hAnsi="Times New Roman"/>
          <w:color w:val="000000"/>
          <w:spacing w:val="5"/>
          <w:sz w:val="26"/>
          <w:szCs w:val="26"/>
        </w:rPr>
        <w:t>Шатковского района «</w:t>
      </w:r>
      <w:r>
        <w:rPr>
          <w:rFonts w:cs="Arial" w:ascii="Times New Roman" w:hAnsi="Times New Roman"/>
          <w:color w:val="000000"/>
          <w:sz w:val="26"/>
          <w:szCs w:val="26"/>
          <w:lang w:val="en-US"/>
        </w:rPr>
        <w:t>raion</w:t>
      </w:r>
      <w:r>
        <w:rPr>
          <w:rFonts w:cs="Arial" w:ascii="Times New Roman" w:hAnsi="Times New Roman"/>
          <w:color w:val="000000"/>
          <w:sz w:val="26"/>
          <w:szCs w:val="26"/>
        </w:rPr>
        <w:t>.</w:t>
      </w:r>
      <w:r>
        <w:rPr>
          <w:rFonts w:cs="Arial" w:ascii="Times New Roman" w:hAnsi="Times New Roman"/>
          <w:color w:val="000000"/>
          <w:sz w:val="26"/>
          <w:szCs w:val="26"/>
          <w:lang w:val="en-US"/>
        </w:rPr>
        <w:t>shatki</w:t>
      </w:r>
      <w:r>
        <w:rPr>
          <w:rFonts w:cs="Arial" w:ascii="Times New Roman" w:hAnsi="Times New Roman"/>
          <w:color w:val="000000"/>
          <w:sz w:val="26"/>
          <w:szCs w:val="26"/>
        </w:rPr>
        <w:t>.</w:t>
      </w:r>
      <w:r>
        <w:rPr>
          <w:rFonts w:cs="Arial" w:ascii="Times New Roman" w:hAnsi="Times New Roman"/>
          <w:color w:val="000000"/>
          <w:sz w:val="26"/>
          <w:szCs w:val="26"/>
          <w:lang w:val="en-US"/>
        </w:rPr>
        <w:t>info</w:t>
      </w:r>
      <w:r>
        <w:rPr>
          <w:rFonts w:cs="Arial" w:ascii="Times New Roman" w:hAnsi="Times New Roman"/>
          <w:color w:val="000000"/>
          <w:sz w:val="26"/>
          <w:szCs w:val="26"/>
        </w:rPr>
        <w:t>».</w:t>
      </w:r>
    </w:p>
    <w:p>
      <w:pPr>
        <w:pStyle w:val="Normal"/>
        <w:spacing w:lineRule="auto" w:line="240" w:before="0" w:after="0"/>
        <w:ind w:firstLine="540"/>
        <w:jc w:val="both"/>
        <w:rPr>
          <w:rFonts w:ascii="Times New Roman" w:hAnsi="Times New Roman" w:cs="Arial"/>
          <w:color w:val="000000"/>
          <w:sz w:val="26"/>
          <w:szCs w:val="26"/>
        </w:rPr>
      </w:pPr>
      <w:r>
        <w:rPr>
          <w:rFonts w:cs="Arial" w:ascii="Times New Roman" w:hAnsi="Times New Roman"/>
          <w:color w:val="000000"/>
          <w:sz w:val="26"/>
          <w:szCs w:val="26"/>
        </w:rPr>
      </w:r>
    </w:p>
    <w:p>
      <w:pPr>
        <w:pStyle w:val="Normal"/>
        <w:spacing w:lineRule="auto" w:line="240" w:before="0" w:after="0"/>
        <w:ind w:hanging="0"/>
        <w:jc w:val="both"/>
        <w:rPr>
          <w:rFonts w:ascii="Times New Roman" w:hAnsi="Times New Roman"/>
          <w:sz w:val="26"/>
          <w:szCs w:val="26"/>
        </w:rPr>
      </w:pPr>
      <w:r>
        <w:rPr>
          <w:rFonts w:cs="Arial" w:ascii="Times New Roman" w:hAnsi="Times New Roman"/>
          <w:color w:val="000000"/>
          <w:sz w:val="26"/>
          <w:szCs w:val="26"/>
        </w:rPr>
        <w:t>3. Настоящее решение вступает в силу со дня его официального обнародования.</w:t>
      </w:r>
    </w:p>
    <w:p>
      <w:pPr>
        <w:pStyle w:val="Normal"/>
        <w:tabs>
          <w:tab w:val="clear" w:pos="708"/>
          <w:tab w:val="left" w:pos="0" w:leader="none"/>
        </w:tabs>
        <w:spacing w:lineRule="auto" w:line="240" w:before="0" w:after="0"/>
        <w:rPr>
          <w:rFonts w:ascii="Times New Roman" w:hAnsi="Times New Roman" w:cs="Arial"/>
          <w:sz w:val="26"/>
          <w:szCs w:val="26"/>
        </w:rPr>
      </w:pPr>
      <w:r>
        <w:rPr>
          <w:rFonts w:cs="Arial" w:ascii="Times New Roman" w:hAnsi="Times New Roman"/>
          <w:sz w:val="26"/>
          <w:szCs w:val="26"/>
        </w:rPr>
      </w:r>
    </w:p>
    <w:p>
      <w:pPr>
        <w:pStyle w:val="Normal"/>
        <w:tabs>
          <w:tab w:val="clear" w:pos="708"/>
          <w:tab w:val="left" w:pos="0" w:leader="none"/>
        </w:tabs>
        <w:spacing w:lineRule="auto" w:line="240" w:before="0" w:after="0"/>
        <w:rPr>
          <w:rFonts w:ascii="Times New Roman" w:hAnsi="Times New Roman" w:cs="Arial"/>
          <w:sz w:val="26"/>
          <w:szCs w:val="26"/>
        </w:rPr>
      </w:pPr>
      <w:r>
        <w:rPr>
          <w:rFonts w:cs="Arial" w:ascii="Times New Roman" w:hAnsi="Times New Roman"/>
          <w:sz w:val="26"/>
          <w:szCs w:val="26"/>
        </w:rPr>
      </w:r>
    </w:p>
    <w:p>
      <w:pPr>
        <w:pStyle w:val="Normal"/>
        <w:tabs>
          <w:tab w:val="clear" w:pos="708"/>
          <w:tab w:val="left" w:pos="0" w:leader="none"/>
        </w:tabs>
        <w:spacing w:lineRule="auto" w:line="240" w:before="0" w:after="0"/>
        <w:rPr>
          <w:rFonts w:ascii="Times New Roman" w:hAnsi="Times New Roman" w:cs="Arial"/>
          <w:sz w:val="26"/>
          <w:szCs w:val="26"/>
        </w:rPr>
      </w:pPr>
      <w:r>
        <w:rPr>
          <w:rFonts w:cs="Arial" w:ascii="Times New Roman" w:hAnsi="Times New Roman"/>
          <w:sz w:val="26"/>
          <w:szCs w:val="26"/>
        </w:rPr>
      </w:r>
    </w:p>
    <w:p>
      <w:pPr>
        <w:pStyle w:val="Normal"/>
        <w:spacing w:lineRule="auto" w:line="240" w:before="0" w:after="0"/>
        <w:rPr>
          <w:rFonts w:ascii="Times New Roman" w:hAnsi="Times New Roman"/>
          <w:sz w:val="26"/>
          <w:szCs w:val="26"/>
        </w:rPr>
      </w:pPr>
      <w:r>
        <w:rPr>
          <w:rFonts w:cs="Arial" w:ascii="Times New Roman" w:hAnsi="Times New Roman"/>
          <w:sz w:val="26"/>
          <w:szCs w:val="26"/>
        </w:rPr>
        <w:t>Глава местного самоуправления</w:t>
      </w:r>
    </w:p>
    <w:p>
      <w:pPr>
        <w:pStyle w:val="Normal"/>
        <w:spacing w:lineRule="auto" w:line="240" w:before="0" w:after="0"/>
        <w:rPr>
          <w:rFonts w:ascii="Times New Roman" w:hAnsi="Times New Roman"/>
          <w:sz w:val="26"/>
          <w:szCs w:val="26"/>
        </w:rPr>
      </w:pPr>
      <w:r>
        <w:rPr>
          <w:rFonts w:cs="Arial" w:ascii="Times New Roman" w:hAnsi="Times New Roman"/>
          <w:sz w:val="26"/>
          <w:szCs w:val="26"/>
        </w:rPr>
        <w:t>С</w:t>
      </w:r>
      <w:r>
        <w:rPr>
          <w:rFonts w:cs="Arial" w:ascii="Times New Roman" w:hAnsi="Times New Roman"/>
          <w:sz w:val="26"/>
          <w:szCs w:val="26"/>
        </w:rPr>
        <w:t xml:space="preserve">тароиванцевского </w:t>
      </w:r>
      <w:r>
        <w:rPr>
          <w:rFonts w:cs="Arial" w:ascii="Times New Roman" w:hAnsi="Times New Roman"/>
          <w:sz w:val="26"/>
          <w:szCs w:val="26"/>
        </w:rPr>
        <w:t xml:space="preserve">. сельсовета                                                     </w:t>
      </w:r>
      <w:r>
        <w:rPr>
          <w:rFonts w:cs="Arial" w:ascii="Times New Roman" w:hAnsi="Times New Roman"/>
          <w:sz w:val="26"/>
          <w:szCs w:val="26"/>
        </w:rPr>
        <w:t xml:space="preserve">Хрулев М.К </w:t>
      </w:r>
    </w:p>
    <w:p>
      <w:pPr>
        <w:pStyle w:val="Normal"/>
        <w:tabs>
          <w:tab w:val="clear" w:pos="708"/>
          <w:tab w:val="left" w:pos="0" w:leader="none"/>
          <w:tab w:val="left" w:pos="7455" w:leader="none"/>
        </w:tabs>
        <w:spacing w:lineRule="auto" w:line="240" w:before="0" w:after="0"/>
        <w:rPr>
          <w:rFonts w:ascii="Times New Roman" w:hAnsi="Times New Roman"/>
          <w:sz w:val="26"/>
          <w:szCs w:val="26"/>
        </w:rPr>
      </w:pPr>
      <w:r>
        <w:rPr>
          <w:rFonts w:cs="Arial" w:ascii="Times New Roman" w:hAnsi="Times New Roman"/>
          <w:sz w:val="26"/>
          <w:szCs w:val="26"/>
        </w:rPr>
        <w:tab/>
      </w:r>
    </w:p>
    <w:sectPr>
      <w:type w:val="nextPage"/>
      <w:pgSz w:w="11906" w:h="16838"/>
      <w:pgMar w:left="1440" w:right="926" w:header="0" w:top="719" w:footer="0" w:bottom="89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411e"/>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Heading1Char1"/>
    <w:uiPriority w:val="99"/>
    <w:qFormat/>
    <w:locked/>
    <w:rsid w:val="00cf4be2"/>
    <w:pPr>
      <w:keepNext w:val="true"/>
      <w:suppressAutoHyphens w:val="true"/>
      <w:spacing w:lineRule="auto" w:line="240" w:before="0" w:after="0"/>
      <w:jc w:val="center"/>
      <w:outlineLvl w:val="0"/>
    </w:pPr>
    <w:rPr>
      <w:rFonts w:ascii="Times New Roman" w:hAnsi="Times New Roman"/>
      <w:b/>
      <w:bCs/>
      <w:sz w:val="32"/>
      <w:szCs w:val="24"/>
      <w:lang w:eastAsia="ar-SA"/>
    </w:rPr>
  </w:style>
  <w:style w:type="paragraph" w:styleId="2">
    <w:name w:val="Heading 2"/>
    <w:basedOn w:val="Normal"/>
    <w:next w:val="Normal"/>
    <w:link w:val="Heading2Char1"/>
    <w:uiPriority w:val="99"/>
    <w:qFormat/>
    <w:locked/>
    <w:rsid w:val="00cf4be2"/>
    <w:pPr>
      <w:keepNext w:val="true"/>
      <w:suppressAutoHyphens w:val="true"/>
      <w:spacing w:lineRule="auto" w:line="240" w:before="0" w:after="0"/>
      <w:jc w:val="center"/>
      <w:outlineLvl w:val="1"/>
    </w:pPr>
    <w:rPr>
      <w:rFonts w:ascii="Times New Roman" w:hAnsi="Times New Roman"/>
      <w:sz w:val="32"/>
      <w:szCs w:val="24"/>
      <w:lang w:eastAsia="ar-S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f93337"/>
    <w:rPr>
      <w:rFonts w:ascii="Cambria" w:hAnsi="Cambria" w:cs="Times New Roman"/>
      <w:b/>
      <w:bCs/>
      <w:kern w:val="2"/>
      <w:sz w:val="32"/>
      <w:szCs w:val="32"/>
      <w:lang w:eastAsia="en-US"/>
    </w:rPr>
  </w:style>
  <w:style w:type="character" w:styleId="Heading2Char" w:customStyle="1">
    <w:name w:val="Heading 2 Char"/>
    <w:basedOn w:val="DefaultParagraphFont"/>
    <w:link w:val="Heading2"/>
    <w:uiPriority w:val="99"/>
    <w:semiHidden/>
    <w:qFormat/>
    <w:locked/>
    <w:rsid w:val="00f93337"/>
    <w:rPr>
      <w:rFonts w:ascii="Cambria" w:hAnsi="Cambria" w:cs="Times New Roman"/>
      <w:b/>
      <w:bCs/>
      <w:i/>
      <w:iCs/>
      <w:sz w:val="28"/>
      <w:szCs w:val="28"/>
      <w:lang w:eastAsia="en-US"/>
    </w:rPr>
  </w:style>
  <w:style w:type="character" w:styleId="BalloonTextChar" w:customStyle="1">
    <w:name w:val="Balloon Text Char"/>
    <w:basedOn w:val="DefaultParagraphFont"/>
    <w:link w:val="BalloonText"/>
    <w:uiPriority w:val="99"/>
    <w:semiHidden/>
    <w:qFormat/>
    <w:locked/>
    <w:rsid w:val="00cb64cb"/>
    <w:rPr>
      <w:rFonts w:ascii="Tahoma" w:hAnsi="Tahoma" w:cs="Tahoma"/>
      <w:sz w:val="16"/>
      <w:szCs w:val="16"/>
    </w:rPr>
  </w:style>
  <w:style w:type="character" w:styleId="Heading1Char1" w:customStyle="1">
    <w:name w:val="Heading 1 Char1"/>
    <w:basedOn w:val="DefaultParagraphFont"/>
    <w:link w:val="Heading1"/>
    <w:uiPriority w:val="99"/>
    <w:qFormat/>
    <w:locked/>
    <w:rsid w:val="00cf4be2"/>
    <w:rPr>
      <w:rFonts w:cs="Times New Roman"/>
      <w:b/>
      <w:bCs/>
      <w:sz w:val="24"/>
      <w:szCs w:val="24"/>
      <w:lang w:val="ru-RU" w:eastAsia="ar-SA" w:bidi="ar-SA"/>
    </w:rPr>
  </w:style>
  <w:style w:type="character" w:styleId="Heading2Char1" w:customStyle="1">
    <w:name w:val="Heading 2 Char1"/>
    <w:basedOn w:val="DefaultParagraphFont"/>
    <w:link w:val="Heading2"/>
    <w:uiPriority w:val="99"/>
    <w:semiHidden/>
    <w:qFormat/>
    <w:locked/>
    <w:rsid w:val="00cf4be2"/>
    <w:rPr>
      <w:rFonts w:cs="Times New Roman"/>
      <w:sz w:val="24"/>
      <w:szCs w:val="24"/>
      <w:lang w:val="ru-RU" w:eastAsia="ar-SA" w:bidi="ar-SA"/>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BalloonText">
    <w:name w:val="Balloon Text"/>
    <w:basedOn w:val="Normal"/>
    <w:link w:val="BalloonTextChar"/>
    <w:uiPriority w:val="99"/>
    <w:semiHidden/>
    <w:qFormat/>
    <w:rsid w:val="00cb64cb"/>
    <w:pPr>
      <w:spacing w:lineRule="auto" w:line="240" w:before="0" w:after="0"/>
    </w:pPr>
    <w:rPr>
      <w:rFonts w:ascii="Tahoma" w:hAnsi="Tahoma" w:cs="Tahoma"/>
      <w:sz w:val="16"/>
      <w:szCs w:val="16"/>
    </w:rPr>
  </w:style>
  <w:style w:type="paragraph" w:styleId="ListParagraph">
    <w:name w:val="List Paragraph"/>
    <w:basedOn w:val="Normal"/>
    <w:uiPriority w:val="99"/>
    <w:qFormat/>
    <w:rsid w:val="00f01673"/>
    <w:pPr>
      <w:spacing w:before="0" w:after="200"/>
      <w:ind w:left="720" w:hanging="0"/>
      <w:contextualSpacing/>
    </w:pPr>
    <w:rPr/>
  </w:style>
  <w:style w:type="paragraph" w:styleId="Iauiue" w:customStyle="1">
    <w:name w:val="Iau?iue"/>
    <w:uiPriority w:val="99"/>
    <w:qFormat/>
    <w:rsid w:val="00885acd"/>
    <w:pPr>
      <w:widowControl w:val="false"/>
      <w:bidi w:val="0"/>
      <w:spacing w:before="0" w:after="0"/>
      <w:jc w:val="left"/>
    </w:pPr>
    <w:rPr>
      <w:rFonts w:eastAsia="Times New Roman" w:ascii="Calibri" w:hAnsi="Calibri"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Application>LibreOffice/7.1.2.2$Windows_X86_64 LibreOffice_project/8a45595d069ef5570103caea1b71cc9d82b2aae4</Application>
  <AppVersion>15.0000</AppVersion>
  <Pages>5</Pages>
  <Words>1328</Words>
  <Characters>10302</Characters>
  <CharactersWithSpaces>11685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2018-03-21T12:35:00Z</dcterms:created>
  <dc:creator>Алемаево</dc:creator>
  <dc:description/>
  <dc:language>ru-RU</dc:language>
  <cp:lastModifiedBy/>
  <cp:lastPrinted>2021-02-26T06:34:00Z</cp:lastPrinted>
  <dcterms:modified xsi:type="dcterms:W3CDTF">2022-01-26T13:05:28Z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